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102FF3">
      <w:pPr>
        <w:pStyle w:val="NormalWeb"/>
        <w:jc w:val="center"/>
        <w:divId w:val="257756652"/>
        <w:rPr>
          <w:color w:val="000000"/>
        </w:rPr>
      </w:pPr>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w:t>
      </w:r>
    </w:p>
    <w:p w:rsidR="00000000" w:rsidRDefault="00102FF3">
      <w:pPr>
        <w:pStyle w:val="NormalWeb"/>
        <w:jc w:val="center"/>
        <w:divId w:val="257756652"/>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102FF3">
      <w:pPr>
        <w:pStyle w:val="NormalWeb"/>
        <w:jc w:val="center"/>
        <w:divId w:val="257756652"/>
        <w:rPr>
          <w:color w:val="000000"/>
        </w:rPr>
      </w:pPr>
      <w:r>
        <w:rPr>
          <w:rStyle w:val="Strong"/>
          <w:color w:val="000000"/>
          <w:sz w:val="30"/>
          <w:szCs w:val="30"/>
        </w:rPr>
        <w:t>Tiêu chí: Quy đ</w:t>
      </w:r>
      <w:r>
        <w:rPr>
          <w:rStyle w:val="Strong"/>
          <w:color w:val="000000"/>
          <w:sz w:val="30"/>
          <w:szCs w:val="30"/>
        </w:rPr>
        <w:t>ị</w:t>
      </w:r>
      <w:r>
        <w:rPr>
          <w:rStyle w:val="Strong"/>
          <w:color w:val="000000"/>
          <w:sz w:val="30"/>
          <w:szCs w:val="30"/>
        </w:rPr>
        <w:t>nh mâu thu</w:t>
      </w:r>
      <w:r>
        <w:rPr>
          <w:rStyle w:val="Strong"/>
          <w:color w:val="000000"/>
          <w:sz w:val="30"/>
          <w:szCs w:val="30"/>
        </w:rPr>
        <w:t>ẫ</w:t>
      </w:r>
      <w:r>
        <w:rPr>
          <w:rStyle w:val="Strong"/>
          <w:color w:val="000000"/>
          <w:sz w:val="30"/>
          <w:szCs w:val="30"/>
        </w:rPr>
        <w:t>n, ch</w:t>
      </w:r>
      <w:r>
        <w:rPr>
          <w:rStyle w:val="Strong"/>
          <w:color w:val="000000"/>
          <w:sz w:val="30"/>
          <w:szCs w:val="30"/>
        </w:rPr>
        <w:t>ồ</w:t>
      </w:r>
      <w:r>
        <w:rPr>
          <w:rStyle w:val="Strong"/>
          <w:color w:val="000000"/>
          <w:sz w:val="30"/>
          <w:szCs w:val="30"/>
        </w:rPr>
        <w:t>ng chéo trong cùng m</w:t>
      </w:r>
      <w:r>
        <w:rPr>
          <w:rStyle w:val="Strong"/>
          <w:color w:val="000000"/>
          <w:sz w:val="30"/>
          <w:szCs w:val="30"/>
        </w:rPr>
        <w:t>ộ</w:t>
      </w:r>
      <w:r>
        <w:rPr>
          <w:rStyle w:val="Strong"/>
          <w:color w:val="000000"/>
          <w:sz w:val="30"/>
          <w:szCs w:val="30"/>
        </w:rPr>
        <w:t>t VBQPPL ho</w:t>
      </w:r>
      <w:r>
        <w:rPr>
          <w:rStyle w:val="Strong"/>
          <w:color w:val="000000"/>
          <w:sz w:val="30"/>
          <w:szCs w:val="30"/>
        </w:rPr>
        <w:t>ặ</w:t>
      </w:r>
      <w:r>
        <w:rPr>
          <w:rStyle w:val="Strong"/>
          <w:color w:val="000000"/>
          <w:sz w:val="30"/>
          <w:szCs w:val="30"/>
        </w:rPr>
        <w:t>c gi</w:t>
      </w:r>
      <w:r>
        <w:rPr>
          <w:rStyle w:val="Strong"/>
          <w:color w:val="000000"/>
          <w:sz w:val="30"/>
          <w:szCs w:val="30"/>
        </w:rPr>
        <w:t>ữ</w:t>
      </w:r>
      <w:r>
        <w:rPr>
          <w:rStyle w:val="Strong"/>
          <w:color w:val="000000"/>
          <w:sz w:val="30"/>
          <w:szCs w:val="30"/>
        </w:rPr>
        <w:t>a các VBQPPL</w:t>
      </w:r>
    </w:p>
    <w:p w:rsidR="00000000" w:rsidRDefault="00102FF3">
      <w:pPr>
        <w:pStyle w:val="NormalWeb"/>
        <w:jc w:val="center"/>
        <w:divId w:val="257756652"/>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102FF3">
      <w:pPr>
        <w:pStyle w:val="NormalWeb"/>
        <w:jc w:val="center"/>
        <w:divId w:val="257756652"/>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102FF3">
      <w:pPr>
        <w:pStyle w:val="NormalWeb"/>
        <w:jc w:val="center"/>
        <w:divId w:val="257756652"/>
        <w:rPr>
          <w:color w:val="000000"/>
        </w:rPr>
      </w:pPr>
      <w:r>
        <w:rPr>
          <w:rStyle w:val="Emphasis"/>
          <w:color w:val="000000"/>
        </w:rPr>
        <w:t>___________________</w:t>
      </w:r>
    </w:p>
    <w:p w:rsidR="00000000" w:rsidRDefault="00102FF3">
      <w:pPr>
        <w:pStyle w:val="Heading3"/>
        <w:jc w:val="center"/>
        <w:divId w:val="45833872"/>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1 - Quy định mâu thuẫn, chồng chéo trong cùng một VBQPPL hoặc giữa các VBQPPL</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1979"/>
        <w:gridCol w:w="2086"/>
        <w:gridCol w:w="977"/>
        <w:gridCol w:w="757"/>
        <w:gridCol w:w="1062"/>
        <w:gridCol w:w="1145"/>
        <w:gridCol w:w="843"/>
      </w:tblGrid>
      <w:tr w:rsidR="00000000">
        <w:trPr>
          <w:divId w:val="1502626438"/>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STT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Nội dung quy định được phản ánh mâu thuẫn, chồng chéo</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Phươ</w:t>
            </w:r>
            <w:r>
              <w:rPr>
                <w:rFonts w:ascii="Times" w:eastAsia="Times New Roman" w:hAnsi="Times"/>
                <w:b/>
                <w:bCs/>
                <w:sz w:val="27"/>
                <w:szCs w:val="27"/>
              </w:rPr>
              <w:t>ng án xử lý được đề xuất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Ý kiến của Bộ, ngành, cơ quan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102FF3">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Pháp luật về cán bộ, công chức, viên chức: 1. Nghị định số 19/</w:t>
            </w:r>
            <w:r>
              <w:rPr>
                <w:rFonts w:ascii="Times" w:eastAsia="Times New Roman" w:hAnsi="Times"/>
              </w:rPr>
              <w:t>2020/NĐ-CP ngày 12/02/2020 của Chính phủ về Kiểm tra, xử lý kỷ luật trong thi hành pháp luật về xử lý vi phạm hành chính., sửa đổi bổ sung theo Nghị định số 93/2025/NĐ-CP ngày 26/05/2025: Vẫn còn hình thức kỷ luật giáng chức (Điều 27).</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Nghị định số 172/202</w:t>
            </w:r>
            <w:r>
              <w:rPr>
                <w:rFonts w:ascii="Times" w:eastAsia="Times New Roman" w:hAnsi="Times"/>
              </w:rPr>
              <w:t>5/NĐ-CP ngày 30/6/2025 quy định về xử lý kỷ luật cán bộ, công chức không còn hình thức kỷ luật giáng chức.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Bộ Tư pháp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14:37:13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Nghị định số 172/2025/NĐ-CP ngày 30/6/2025 quy </w:t>
            </w:r>
            <w:r>
              <w:rPr>
                <w:rFonts w:ascii="Times" w:eastAsia="Times New Roman" w:hAnsi="Times"/>
              </w:rPr>
              <w:lastRenderedPageBreak/>
              <w:t>định về xử lý kỷ luật cán bộ, công chức, chỉ quy định về xử lý kỷ luật cán bộ, công chức không quy định về xử lý kỷ luật viên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Xử lý kỷ luật viên chức vẫn theo Nghị định số 112/2020</w:t>
            </w:r>
            <w:r>
              <w:rPr>
                <w:rFonts w:ascii="Times" w:eastAsia="Times New Roman" w:hAnsi="Times"/>
              </w:rPr>
              <w:t>/NĐ-</w:t>
            </w:r>
            <w:r>
              <w:rPr>
                <w:rFonts w:ascii="Times" w:eastAsia="Times New Roman" w:hAnsi="Times"/>
              </w:rPr>
              <w:lastRenderedPageBreak/>
              <w:t>CP được sửa đổi, bổ sung theo Nghị định số 71/2023.NĐ-CP, nên tạo ra sự không thống nhất liên quan đến thời hiệu kỷ luật, thẩm quyền, thủ tục,... giữa xử lý kỷ luật cán bộ, công chức với viên chức.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w:t>
            </w:r>
            <w:r>
              <w:rPr>
                <w:rFonts w:ascii="Times" w:eastAsia="Times New Roman" w:hAnsi="Times"/>
              </w:rPr>
              <w:lastRenderedPageBreak/>
              <w:t>thế, ban hành mới VBQPPL (th</w:t>
            </w:r>
            <w:r>
              <w:rPr>
                <w:rFonts w:ascii="Times" w:eastAsia="Times New Roman" w:hAnsi="Times"/>
              </w:rPr>
              <w:t>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Bộ Tư pháp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14:37:13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Luật Cán bộ, công chức 2025 và Nghị định 179/2024/NĐ-CP quy định chính sách thu hút, trọng dụng người có tài năng làm việc trong cơ quan, tổ chức, đơ</w:t>
            </w:r>
            <w:r>
              <w:rPr>
                <w:rFonts w:ascii="Times" w:eastAsia="Times New Roman" w:hAnsi="Times"/>
              </w:rPr>
              <w:t>n vị của Đảng Cộng sản Việt Nam, Nhà nước, Mặt trận Tổ quốc Việt Nam và các tổ chức chính trị - xã hội.</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Hiện nay chưa có văn bản quy định về chính sách thu hút, trọng dụng người có tài năng phù hợp với quy định của Luật Cán bộ, công chức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C. Sửa đổi, </w:t>
            </w:r>
            <w:r>
              <w:rPr>
                <w:rFonts w:ascii="Times" w:eastAsia="Times New Roman" w:hAnsi="Times"/>
              </w:rPr>
              <w:t>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Bộ Tư pháp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14:37:13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Khoản 4 Điều 11 Nghị quyết số 76/2025/UBTVQH15 ngày 14/4/2025 của UBTVQH về việc sắp xếp đơn vị hành </w:t>
            </w:r>
            <w:r>
              <w:rPr>
                <w:rFonts w:ascii="Times" w:eastAsia="Times New Roman" w:hAnsi="Times"/>
              </w:rPr>
              <w:lastRenderedPageBreak/>
              <w:t xml:space="preserve">chính </w:t>
            </w:r>
            <w:r>
              <w:rPr>
                <w:rFonts w:ascii="Times" w:eastAsia="Times New Roman" w:hAnsi="Times"/>
              </w:rPr>
              <w:t>năm 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Tại khoản 4 Điều 11 Nghị quyết số 76/2025/UBTVQH15 ngày 14/4/2025 của UBTVQH về việc sắp xếp đơn vị hành chính </w:t>
            </w:r>
            <w:r>
              <w:rPr>
                <w:rFonts w:ascii="Times" w:eastAsia="Times New Roman" w:hAnsi="Times"/>
              </w:rPr>
              <w:lastRenderedPageBreak/>
              <w:t xml:space="preserve">năm 2025 quy định: “4. Giữ nguyên chế độ, chính sách tiền lương và phụ cấp chức vụ (nếu có) hiện hưởng của cán bộ, công chức, viên chức </w:t>
            </w:r>
            <w:r>
              <w:rPr>
                <w:rFonts w:ascii="Times" w:eastAsia="Times New Roman" w:hAnsi="Times"/>
              </w:rPr>
              <w:t xml:space="preserve">chịu ảnh hưởng của việc sắp xếp đơn vị hành chính mà vẫn là cán bộ, công chức, viên chức tại các cơ quan, tổ chức trong hệ thống chính trị trong thời gian 06 tháng kể từ khi có văn bản bố trí công tác. Sau thời hạn này, thực hiện chế độ, chính sách và phụ </w:t>
            </w:r>
            <w:r>
              <w:rPr>
                <w:rFonts w:ascii="Times" w:eastAsia="Times New Roman" w:hAnsi="Times"/>
              </w:rPr>
              <w:t>cấp chức vụ theo quy định của pháp luật”. Tại Điều 11 Nghị định số 178/2024/NĐ-CP ngày 31/12/2024 của Chính phủ được sửa đổi, bổ sung tại khoản 11 Điều 1 Nghị định số 67/2025/NĐ-CP ngày 15/3/2025 của Chính phủ quy định: “Điều 11. Chính sách đối với cán bộ,</w:t>
            </w:r>
            <w:r>
              <w:rPr>
                <w:rFonts w:ascii="Times" w:eastAsia="Times New Roman" w:hAnsi="Times"/>
              </w:rPr>
              <w:t xml:space="preserve"> công chức, viên chức lãnh đạo, quản lý thôi giữ chức vụ lãnh đạo, </w:t>
            </w:r>
            <w:r>
              <w:rPr>
                <w:rFonts w:ascii="Times" w:eastAsia="Times New Roman" w:hAnsi="Times"/>
              </w:rPr>
              <w:lastRenderedPageBreak/>
              <w:t>quản lý hoặc được bầu cử, bổ nhiệm giữ chức vụ lãnh đạo, quản lý có phụ cấp chức vụ thấp hơn do sắp xếp tổ chức bộ máy. Cán bộ, công chức, viên chức lãnh đạo quản lý thôi giữ chức vụ lãnh đ</w:t>
            </w:r>
            <w:r>
              <w:rPr>
                <w:rFonts w:ascii="Times" w:eastAsia="Times New Roman" w:hAnsi="Times"/>
              </w:rPr>
              <w:t xml:space="preserve">ạo, quản lý hoặc được bầu cử, bổ nhiệm giữ chức vụ lãnh đạo, quản lý có mức lương chức vụ hoặc phụ cấp chức vụ lãnh đạo thấp hơn do sắp xếp tổ chức bộ máy, thì được bảo lưu mức lương chức vụ cũ hoặc phụ cấp chức vụ lãnh đạo cũ đến hết nhiệm kỳ bầu cử hoặc </w:t>
            </w:r>
            <w:r>
              <w:rPr>
                <w:rFonts w:ascii="Times" w:eastAsia="Times New Roman" w:hAnsi="Times"/>
              </w:rPr>
              <w:t>hết thời hạn bổ nhiệm. Trường hợp đã giữ chức vụ lãnh đạo, quản lý theo nhiệm kỳ bầu cử hoặc thời hạn bổ nhiệm còn dưới 6 tháng thì được bảo lưu 06 tháng". Quy định về chính sách bảo lưu mức lương chức vụ phụ cấp cũ hoặc phụ cấp chức vụ lãnh đạo đối với cá</w:t>
            </w:r>
            <w:r>
              <w:rPr>
                <w:rFonts w:ascii="Times" w:eastAsia="Times New Roman" w:hAnsi="Times"/>
              </w:rPr>
              <w:t xml:space="preserve">n bộ, công chức, viên chức lãnh </w:t>
            </w:r>
            <w:r>
              <w:rPr>
                <w:rFonts w:ascii="Times" w:eastAsia="Times New Roman" w:hAnsi="Times"/>
              </w:rPr>
              <w:lastRenderedPageBreak/>
              <w:t>đạo, quản lý thôi giữ chức vụ lãnh đạo hoặc bổ nhiệm chức vụ lãnh đạo thấp hơn do sắp xếp tổ chức bộ máy tại các quy định nêu trên bị mâu thuẫn, chưa thống nhất, gây khó khăn khi thực hiện. Đề nghị Bộ Nội vụ nghiên cứu báo c</w:t>
            </w:r>
            <w:r>
              <w:rPr>
                <w:rFonts w:ascii="Times" w:eastAsia="Times New Roman" w:hAnsi="Times"/>
              </w:rPr>
              <w:t>áo cấp có thẩm quyền xem xét sửa đổi các quy định thống nhất đảm bảo quyền lợi cho đội ngũ cán bộ, công chức, viên chức yên tâm công tác.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w:t>
            </w:r>
            <w:r>
              <w:rPr>
                <w:rFonts w:ascii="Times" w:eastAsia="Times New Roman" w:hAnsi="Times"/>
              </w:rPr>
              <w:t>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Sở Tư pháp tỉnh Hưng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13:34:23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c khoản 2 Điều 16 Luật Thi đua, khen thưởng; - Khoản 1 Điều 25 Luật Thi đua, khen thưởng; khoản 1 Điều 7 Nghị định số 152/2025/NĐ-CP ngày 14/6/2025 của Chính phủ Quy định về phân cấp, phân quyền trong lĩnh vực thi đua, khen thưởng; quy định chi tiết v</w:t>
            </w:r>
            <w:r>
              <w:rPr>
                <w:rFonts w:ascii="Times" w:eastAsia="Times New Roman" w:hAnsi="Times"/>
              </w:rPr>
              <w:t xml:space="preserve">à hướng dẫn thi hành một số điều của Luật </w:t>
            </w:r>
            <w:r>
              <w:rPr>
                <w:rFonts w:ascii="Times" w:eastAsia="Times New Roman" w:hAnsi="Times"/>
              </w:rPr>
              <w:lastRenderedPageBreak/>
              <w:t>Thi đua, khen thưởng; Điều 5 Thông tư số 01/2024/TT-BNV ngày 24/02/2024 của Bộ Nội vụ Thông tư quy định biện pháp thi hành Luật Thi đua, khen thưởng và Nghị định số 98/2023/NĐ-CP ngày 31/12/2023 của CP quy định chi</w:t>
            </w:r>
            <w:r>
              <w:rPr>
                <w:rFonts w:ascii="Times" w:eastAsia="Times New Roman" w:hAnsi="Times"/>
              </w:rPr>
              <w:t xml:space="preserve"> tiết thi hành một số điều của Luật Thi đua, khen thưởng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Tại Điểm c khoản 2 Điều 16 Luật Thi đua, khen thưởng quy định: "Cụm, khối thi đua do Hội đồng Thi đua, khen thưởng các cấp tổ chức". Tại Khoản 1 Điều 25 Luật Thi đua, khen thưởng, khoản 1 Điều 7 Nghị</w:t>
            </w:r>
            <w:r>
              <w:rPr>
                <w:rFonts w:ascii="Times" w:eastAsia="Times New Roman" w:hAnsi="Times"/>
              </w:rPr>
              <w:t xml:space="preserve"> định số 152/2025/NĐ-CP, Điều 5 Thông tư số 01/2024/TT-BNV quy định việc tổ chức, xét tặng hoặc đề nghị xét tặng tập thể tiêu biểu </w:t>
            </w:r>
            <w:r>
              <w:rPr>
                <w:rFonts w:ascii="Times" w:eastAsia="Times New Roman" w:hAnsi="Times"/>
              </w:rPr>
              <w:lastRenderedPageBreak/>
              <w:t>xuất sắc trong số các tập thể dẫn đầu cụm, khối thi đua do tỉnh tổ chức. Đề nghị xem xét, sửa đổi thống nhất nội dung: Cụm, k</w:t>
            </w:r>
            <w:r>
              <w:rPr>
                <w:rFonts w:ascii="Times" w:eastAsia="Times New Roman" w:hAnsi="Times"/>
              </w:rPr>
              <w:t>hối thi đua của tỉnh do Hội đồng Thi đua, khen thưởng cấp tỉnh hay UBND cấp tỉnh tổ chức (quyết định thành lập).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Hư</w:t>
            </w:r>
            <w:r>
              <w:rPr>
                <w:rFonts w:ascii="Times" w:eastAsia="Times New Roman" w:hAnsi="Times"/>
              </w:rPr>
              <w:t>ng Yên</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13:34:23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10, Điều 23 Luật Tổ chức chính quyền, địa phương số 72/2025/QH15 ngày 16/6/2025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10, Điều 23 Luật Tổ chức chính quyền, địa phương số 72/2025/QH15 ngày 16/6/2025 và Điểm b, khoản 4 Điều 40 Nghị định số 142/2025/N</w:t>
            </w:r>
            <w:r>
              <w:rPr>
                <w:rFonts w:ascii="Times" w:eastAsia="Times New Roman" w:hAnsi="Times"/>
              </w:rPr>
              <w:t xml:space="preserve">Đ-CP của Chính phủ ngày 12/6/2025 quy định về phân định thẩm quyền của chính quyền địa phương hai cấp trong lĩnh vực quản lý nhà nước của Bộ Giáo dục và Đào tạo cùng quy định về thẩm quyền bổ nhiệm về nhân sự quản lý đối </w:t>
            </w:r>
            <w:r>
              <w:rPr>
                <w:rFonts w:ascii="Times" w:eastAsia="Times New Roman" w:hAnsi="Times"/>
              </w:rPr>
              <w:lastRenderedPageBreak/>
              <w:t xml:space="preserve">với viên chức ngành giáo dục nhưng </w:t>
            </w:r>
            <w:r>
              <w:rPr>
                <w:rFonts w:ascii="Times" w:eastAsia="Times New Roman" w:hAnsi="Times"/>
              </w:rPr>
              <w:t>chồng chéo nhau. - Tại khoản 10, Điều 23 Luật Tổ chức chính quyền, địa phương quy định Nhiệm vụ, quyền hạn của Chủ tịch UBND xã “10. Chỉ đạo và tổ chức thực hiện công tác tuyển dụng, sử dụng, quản lý công chức, viên chức trên địa bàn theo quy định của pháp</w:t>
            </w:r>
            <w:r>
              <w:rPr>
                <w:rFonts w:ascii="Times" w:eastAsia="Times New Roman" w:hAnsi="Times"/>
              </w:rPr>
              <w:t xml:space="preserve"> luật và phân cấp của cơ quan nhà nước cấp trên; quyết định bổ nhiệm, miễn nhiệm, điều động, cách chức người đứng đầu, cấp phó của người đứng đầu cơ quan chuyên môn, tổ chức hành chính khác, đơn vị sự nghiệp công lập thuộc Ủy ban nhân dân cấp mình; quyết đ</w:t>
            </w:r>
            <w:r>
              <w:rPr>
                <w:rFonts w:ascii="Times" w:eastAsia="Times New Roman" w:hAnsi="Times"/>
              </w:rPr>
              <w:t xml:space="preserve">ịnh tạm đình chỉ công tác đối với Phó Chủ tịch Ủy ban nhân dân cấp mình, người đứng đầu cơ quan chuyên môn, tổ chức hành chính khác, đơn vị sự nghiệp công lập </w:t>
            </w:r>
            <w:r>
              <w:rPr>
                <w:rFonts w:ascii="Times" w:eastAsia="Times New Roman" w:hAnsi="Times"/>
              </w:rPr>
              <w:lastRenderedPageBreak/>
              <w:t>thuộc Ủy ban nhân dân cấp mình. - Tại điểm b, khoản 4 Điều 40 Nghị định số 142/2025/NĐ-CP của Chí</w:t>
            </w:r>
            <w:r>
              <w:rPr>
                <w:rFonts w:ascii="Times" w:eastAsia="Times New Roman" w:hAnsi="Times"/>
              </w:rPr>
              <w:t xml:space="preserve">nh phủ ngày 12/6/2025 quy định trách nhiệm của Sở Giáo dục và Đào tạo: “Thực hiện tuyển dụng, quản lý, sử dụng, bổ nhiệm, thăng hạng chức danh nghề nghiệp, thay đổi chức danh nghề nghiệp, đào tạo, bồi dưỡng, đánh giá đối với đội ngũ nhà giáo, nhân sự quản </w:t>
            </w:r>
            <w:r>
              <w:rPr>
                <w:rFonts w:ascii="Times" w:eastAsia="Times New Roman" w:hAnsi="Times"/>
              </w:rPr>
              <w:t>lý, viên chức và người lao động trong các cơ sở giáo dục công lập trên địa bàn tỉnh theo quy định; chủ trì triển khai thực hiện công tác đào tạo, bồi dưỡng đối với đội ngũ nhà giáo, nhân sự quản lý các cơ sở giáo dục ngoài công lập trên địa bàn tỉnh theo q</w:t>
            </w:r>
            <w:r>
              <w:rPr>
                <w:rFonts w:ascii="Times" w:eastAsia="Times New Roman" w:hAnsi="Times"/>
              </w:rPr>
              <w:t>uy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Điểm b Khoản 2 Điều 19 Nghị định số </w:t>
            </w:r>
            <w:r>
              <w:rPr>
                <w:rFonts w:ascii="Times" w:eastAsia="Times New Roman" w:hAnsi="Times"/>
              </w:rPr>
              <w:lastRenderedPageBreak/>
              <w:t>120/2020/NĐ-CP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Điểm b Khoản 2 Điều 19. Thẩm quyền của Chính phủ, Thủ tướng </w:t>
            </w:r>
            <w:r>
              <w:rPr>
                <w:rFonts w:ascii="Times" w:eastAsia="Times New Roman" w:hAnsi="Times"/>
              </w:rPr>
              <w:lastRenderedPageBreak/>
              <w:t>Chính phủ (Nghị định số 120/2020/NĐ-CP ngày 07/10/2020 Quy định về thành lập, tổ chức lại, giải thể đơn vị sự nghiệp công lập) quy định b) Quyết định thành lập, tổ chức lại, giải thể: Đơn vị sự ng</w:t>
            </w:r>
            <w:r>
              <w:rPr>
                <w:rFonts w:ascii="Times" w:eastAsia="Times New Roman" w:hAnsi="Times"/>
              </w:rPr>
              <w:t>hiệp công lập quy định tại điểm a, b khoản 1, khoản 2, khoản 3, điểm a khoản 4 Điều 2 Nghị định này (trừ đơn vị quy định tại khoản 1 Điều này); đơn vị sự nghiệp công lập thuộc thẩm quyền quyết định của Thủ tướng Chính phủ theo quy định của luật chuyên ngàn</w:t>
            </w:r>
            <w:r>
              <w:rPr>
                <w:rFonts w:ascii="Times" w:eastAsia="Times New Roman" w:hAnsi="Times"/>
              </w:rPr>
              <w:t>h và đơn vị sự nghiệp công lập khác theo quy định của pháp luật. Mâu thuẫn với Luật Tổ chức chính quyền địa phương năm 2025 tại: Điều 16. Nhiệm vụ, quyền hạn của Ủy ban nhân dân cấp tỉnh 1. Ủy ban nhân dân tỉnh thực hiện nhiệm vụ, quyền hạn sau đây: e) Quy</w:t>
            </w:r>
            <w:r>
              <w:rPr>
                <w:rFonts w:ascii="Times" w:eastAsia="Times New Roman" w:hAnsi="Times"/>
              </w:rPr>
              <w:t xml:space="preserve"> định tổ chức bộ </w:t>
            </w:r>
            <w:r>
              <w:rPr>
                <w:rFonts w:ascii="Times" w:eastAsia="Times New Roman" w:hAnsi="Times"/>
              </w:rPr>
              <w:lastRenderedPageBreak/>
              <w:t>máy và nhiệm vụ, quyền hạn cụ thể của cơ quan chuyên môn thuộc Ủy ban nhân dân cấp mình; quyết định thành lập, tổ chức lại, thay đổi tên gọi, giải thể và quy định tổ chức bộ máy, nhiệm vụ, quyền hạn cụ thể của đơn vị sự nghiệp công lập thu</w:t>
            </w:r>
            <w:r>
              <w:rPr>
                <w:rFonts w:ascii="Times" w:eastAsia="Times New Roman" w:hAnsi="Times"/>
              </w:rPr>
              <w:t>ộc Ủy ban nhân dân cấp mình theo quy định của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w:t>
            </w:r>
            <w:r>
              <w:rPr>
                <w:rFonts w:ascii="Times" w:eastAsia="Times New Roman" w:hAnsi="Times"/>
              </w:rPr>
              <w:lastRenderedPageBreak/>
              <w:t>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Sở Tư pháp tỉnh </w:t>
            </w:r>
            <w:r>
              <w:rPr>
                <w:rFonts w:ascii="Times" w:eastAsia="Times New Roman" w:hAnsi="Times"/>
              </w:rPr>
              <w:lastRenderedPageBreak/>
              <w:t>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5 Nghị định số 12/2</w:t>
            </w:r>
            <w:r>
              <w:rPr>
                <w:rFonts w:ascii="Times" w:eastAsia="Times New Roman" w:hAnsi="Times"/>
              </w:rPr>
              <w:t>011/NĐ-CP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5. Thẩm quyền thành lập, giải thể và quản lý thanh niên xung phong, Nghị định số 12/2011/NĐ-CP ngày 30 tháng 01 năm 2011 của Chính phủ: Về tổ chức và chính sách đối với thanh niên xung phong: 1. Thanh niên xung phong chỉ được thành lập khi c</w:t>
            </w:r>
            <w:r>
              <w:rPr>
                <w:rFonts w:ascii="Times" w:eastAsia="Times New Roman" w:hAnsi="Times"/>
              </w:rPr>
              <w:t xml:space="preserve">ần huy động thanh niên để thực hiện nhiệm vụ theo quy định tại Điều 4 của Nghị định này trong thời gian từ 24 tháng trở lên. 2. Thẩm </w:t>
            </w:r>
            <w:r>
              <w:rPr>
                <w:rFonts w:ascii="Times" w:eastAsia="Times New Roman" w:hAnsi="Times"/>
              </w:rPr>
              <w:lastRenderedPageBreak/>
              <w:t xml:space="preserve">quyền thành lập, giải thể và quản lý thanh niên xung phong được quy định như sau: a) Thanh niên xung phong ở Trung ương do </w:t>
            </w:r>
            <w:r>
              <w:rPr>
                <w:rFonts w:ascii="Times" w:eastAsia="Times New Roman" w:hAnsi="Times"/>
              </w:rPr>
              <w:t>Trung ương Đoàn Thanh niên Cộng sản Hồ Chí Minh quyết định thành lập, giải thể và quản lý; b) Thanh niên xung phong ở tỉnh, thành phố trực thuộc Trung ương (sau đây gọi chung thanh niên xung phong cấp tỉnh) do Đoàn thanh niên Cộng sản Hồ Chí Minh tỉnh, thà</w:t>
            </w:r>
            <w:r>
              <w:rPr>
                <w:rFonts w:ascii="Times" w:eastAsia="Times New Roman" w:hAnsi="Times"/>
              </w:rPr>
              <w:t>nh quyết định thành lập, giải thể và quản lý. 3. Việc thành lập thanh niên xung phong phải được sự chấp thuận của cơ quan quản lý nhà nước có thẩm quyền theo quy định của pháp luật. 4. Bộ Nội vụ hướng dẫn về trình tự, thủ tục thành lập, giải thể và quản lý</w:t>
            </w:r>
            <w:r>
              <w:rPr>
                <w:rFonts w:ascii="Times" w:eastAsia="Times New Roman" w:hAnsi="Times"/>
              </w:rPr>
              <w:t xml:space="preserve"> thanh niên xung phong quy định tại Nghị định này. Điểm 7a, mục IV, Điều 1 tại Quyết định </w:t>
            </w:r>
            <w:r>
              <w:rPr>
                <w:rFonts w:ascii="Times" w:eastAsia="Times New Roman" w:hAnsi="Times"/>
              </w:rPr>
              <w:lastRenderedPageBreak/>
              <w:t>số 1331/QĐ-TTg của Thủ tướng Chính phủ ngày 24/7/2021 Ban hành Chiến lược phát triển thanh niên Việt Nam giai đoạn 2021- 203: Ủy ban nhân dân các tỉnh, thành phố trực</w:t>
            </w:r>
            <w:r>
              <w:rPr>
                <w:rFonts w:ascii="Times" w:eastAsia="Times New Roman" w:hAnsi="Times"/>
              </w:rPr>
              <w:t xml:space="preserve"> thuộc trung ương cụ thể hóa và tổ chức thực hiện chính sách, pháp luật về thanh niên theo phân cấp quản lý. Điểm 7đ, mục IV, Điều 1 tại Quyết định số 1331/QĐ-TTg của Thủ tướng Chính phủ ngày 24/7/2021 Ban hành Chiến lược phát triển thanh niên Việt Nam gia</w:t>
            </w:r>
            <w:r>
              <w:rPr>
                <w:rFonts w:ascii="Times" w:eastAsia="Times New Roman" w:hAnsi="Times"/>
              </w:rPr>
              <w:t>i đoạn 2021- 2023: Ủy ban nhân dân các tỉnh, thành phố trực thuộc trung ương kiện toàn tổ chức bộ máy thực hiện nhiệm vụ quản lý nhà nước về thanh niên các cấp; chú trọng công tác đào tạo, bồi dưỡng, nâng cao trình độ chuyên môn, nghiệp vụ. Ngày 09/3/2021,</w:t>
            </w:r>
            <w:r>
              <w:rPr>
                <w:rFonts w:ascii="Times" w:eastAsia="Times New Roman" w:hAnsi="Times"/>
              </w:rPr>
              <w:t xml:space="preserve"> Chính phủ ban hành Nghị định số </w:t>
            </w:r>
            <w:r>
              <w:rPr>
                <w:rFonts w:ascii="Times" w:eastAsia="Times New Roman" w:hAnsi="Times"/>
              </w:rPr>
              <w:lastRenderedPageBreak/>
              <w:t xml:space="preserve">17/2021/NĐ-CP quy định về chính sách đổi với thanh niên xung phong, thanh niên tình nguyện. Tuy nhiên, Nghị định số 17/2021/NĐ-CP chưa quy định về tổ chức thanh niên xung phong và chính sách đối với tổ chức thanh niên xung </w:t>
            </w:r>
            <w:r>
              <w:rPr>
                <w:rFonts w:ascii="Times" w:eastAsia="Times New Roman" w:hAnsi="Times"/>
              </w:rPr>
              <w:t xml:space="preserve">phong mà tiêp tục thực hiện theo quy định tại Nghị định số 12/2011/NĐ-CP ngày 30/01/2011 của Chính phủ. Đồng thời, Chính phủ chưa có văn bản hướng dẫn quy định để xác định loại hình đơn vị đối với tổ chức Thanh niên xung phong là đơn vị sự nghiệp công lập </w:t>
            </w:r>
            <w:r>
              <w:rPr>
                <w:rFonts w:ascii="Times" w:eastAsia="Times New Roman" w:hAnsi="Times"/>
              </w:rPr>
              <w:t xml:space="preserve">hay đơn vị sự nghiệp kinh tế. Một số nhiệm vụ, chương trình, đề án, dự án tại Chiến lược phát triển thanh niên Việt Nam giai đoạn 2021 - 2030 theo Quyết định số Quyết định số 1331/QĐ-TTg ngày 24/7/2021 của Chính phủ chưa có </w:t>
            </w:r>
            <w:r>
              <w:rPr>
                <w:rFonts w:ascii="Times" w:eastAsia="Times New Roman" w:hAnsi="Times"/>
              </w:rPr>
              <w:lastRenderedPageBreak/>
              <w:t>văn bản triển khai, thực hiện. C</w:t>
            </w:r>
            <w:r>
              <w:rPr>
                <w:rFonts w:ascii="Times" w:eastAsia="Times New Roman" w:hAnsi="Times"/>
              </w:rPr>
              <w:t xml:space="preserve">hưa có hướng dẫn về việc kiện toàn tổ chức bộ máy thực hiện nhiệm vụ quản lý nhà nước về thanh niên phù hợp với mô hình chính quyền 02 cấp, đáp ứng yêu cầu phát triển thanh niên trong giai đoạn mới. Đề nghị Trung ương ban hành văn bản sửa đổi, bổ sung các </w:t>
            </w:r>
            <w:r>
              <w:rPr>
                <w:rFonts w:ascii="Times" w:eastAsia="Times New Roman" w:hAnsi="Times"/>
              </w:rPr>
              <w:t xml:space="preserve">quy định về thanh niên xung phong; theo đó, quy định cụ thể loại hình đơn vị đối với các tổ chức thanh niên xung phong tại địa phương để thống nhất áp dụng chế độ, chính sách đối với thanh niên xung phong theo quy định Đề nghị các Bộ, ngành Trung ương sớm </w:t>
            </w:r>
            <w:r>
              <w:rPr>
                <w:rFonts w:ascii="Times" w:eastAsia="Times New Roman" w:hAnsi="Times"/>
              </w:rPr>
              <w:t xml:space="preserve">triển khai một số nhiệm vụ, chương trình, đề án, dự án để Chiến lược phát triển thanh niên Việt Nam giai đoạn 2021 - 2030 theo Quyết định số Quyết định số 1331/QĐ-TTg </w:t>
            </w:r>
            <w:r>
              <w:rPr>
                <w:rFonts w:ascii="Times" w:eastAsia="Times New Roman" w:hAnsi="Times"/>
              </w:rPr>
              <w:lastRenderedPageBreak/>
              <w:t>ngày 24/7/2021 của Chính phủ để các địa phương có căn cứ triển khai thực hiện, đảm bảo ti</w:t>
            </w:r>
            <w:r>
              <w:rPr>
                <w:rFonts w:ascii="Times" w:eastAsia="Times New Roman" w:hAnsi="Times"/>
              </w:rPr>
              <w:t>ến độ được giao; có hướng dẫn về việc kiện toàn tổ chức bộ máy thực hiện nhiệm vụ quản lý nhà nước về thanh niên phù hợp với mô hình chính quyền 02 cấp, đáp ứng yêu cầu phát triển thanh niên trong giai đoạn mới.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w:t>
            </w:r>
            <w:r>
              <w:rPr>
                <w:rFonts w:ascii="Times" w:eastAsia="Times New Roman" w:hAnsi="Times"/>
              </w:rPr>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2, Điều 14, Nghị định số 128/2025/NĐ-CP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2, Điều 14, Nghị định số 128/2025/NĐ-CP ngày 11/6/2025 quy định về phâ</w:t>
            </w:r>
            <w:r>
              <w:rPr>
                <w:rFonts w:ascii="Times" w:eastAsia="Times New Roman" w:hAnsi="Times"/>
              </w:rPr>
              <w:t xml:space="preserve">n quyền, phân cấp trong quản lý nhà nước lĩnh vực nội vụ: Nhiệm vụ, quyền hạn quyết định cơ quan, tổ chức khác của Nhà nước không thuộc trường hợp quy định tại khoản 2, Điều 18 của Luật Lưu trữ nộp hồ sơ, tài liệu vào Lưu trữ lịch sử nhà nước ở địa phương </w:t>
            </w:r>
            <w:r>
              <w:rPr>
                <w:rFonts w:ascii="Times" w:eastAsia="Times New Roman" w:hAnsi="Times"/>
              </w:rPr>
              <w:t xml:space="preserve">do Chủ tịch UBND cấp tỉnh thực hiện. - Điểm a, </w:t>
            </w:r>
            <w:r>
              <w:rPr>
                <w:rFonts w:ascii="Times" w:eastAsia="Times New Roman" w:hAnsi="Times"/>
              </w:rPr>
              <w:lastRenderedPageBreak/>
              <w:t>khoản 14, Điều 14, Thông tư số 10/2025/TT-BNV ngày 19/6/2025 quy định về thẩm quyền ban hành danh mục cơ quan, tổ chức của Nhà nước không thuộc trường hợp quy định tại khoản 2 Điều 18 Luật Lưu trữ nộp hồ sơ, t</w:t>
            </w:r>
            <w:r>
              <w:rPr>
                <w:rFonts w:ascii="Times" w:eastAsia="Times New Roman" w:hAnsi="Times"/>
              </w:rPr>
              <w:t xml:space="preserve">ài liệu vào lưu trữ lịch sử của Nhà nước ở cấp tỉnh: Sở Nội vụ, trình Ủy ban nhân dân cấp tỉnh ban hành danh mục cơ quan, tổ chức của Nhà nước không thuộc trường hợp quy định tại khoản 2 Điều 18 Luật Lưu trữ nộp hồ sơ, tài liệu vào lưu trữ lịch sử của Nhà </w:t>
            </w:r>
            <w:r>
              <w:rPr>
                <w:rFonts w:ascii="Times" w:eastAsia="Times New Roman" w:hAnsi="Times"/>
              </w:rPr>
              <w:t>nước ở cấp tỉnh theo thẩm quyền; Theo Nghị định số 128/2025/NĐ-CP: thẩm quyền do Chủ tịch UBND cấp tỉnh thực hiện. Tuy nhiên, Thông tư số 10/2025/TT-BNV thì thẩm quyền do UBND cấp tỉnh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w:t>
            </w:r>
            <w:r>
              <w:rPr>
                <w:rFonts w:ascii="Times" w:eastAsia="Times New Roman" w:hAnsi="Times"/>
              </w:rPr>
              <w:t>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38 Nghị định số 113/2025/NĐ-CP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Điều 38, Nghị định số 113/2025/NĐ-CP ngày 03/6/2025 quy định về thủ tục cấp Giấy chứng nhận đủ điều kiện kinh doanh dịch vụ lưu trữ: do Sở Nội vụ tỉnh, thành phố trực thuộc TW cấp theo đề nghị của tổ chức kinh doanh dịch vụ lưu trữ quy định tại điểm a và</w:t>
            </w:r>
            <w:r>
              <w:rPr>
                <w:rFonts w:ascii="Times" w:eastAsia="Times New Roman" w:hAnsi="Times"/>
              </w:rPr>
              <w:t xml:space="preserve"> điểm b khoản 1 Điều 53 Luật Lưu trữ - Điểm d, khoản 14, Điều 2, Thông tư số 10/2025/TT-BNV ngày 19/6/2025: Sở Nội vụ tham mưu, giúp Ủy ban nhân dân cấp tỉnh cấp Giấy chứng nhận đủ điều kiện kinh doanh dịch vụ lưu trữ Theo Nghị định số 113/2025/NĐ-CP: thẩm</w:t>
            </w:r>
            <w:r>
              <w:rPr>
                <w:rFonts w:ascii="Times" w:eastAsia="Times New Roman" w:hAnsi="Times"/>
              </w:rPr>
              <w:t xml:space="preserve"> quyền do Sở Nội vụ thực hiện. Tuy nhiên, Thông tư số 10/2025/TT-BNV thì thẩm quyền do UBND cấp tỉnh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Sở Tư pháp tỉnh Hải </w:t>
            </w:r>
            <w:r>
              <w:rPr>
                <w:rFonts w:ascii="Times" w:eastAsia="Times New Roman" w:hAnsi="Times"/>
              </w:rPr>
              <w:t>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11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Tại Phụ lục I, Nghị định số 30/2019/NĐ-</w:t>
            </w:r>
            <w:r>
              <w:rPr>
                <w:rFonts w:ascii="Times" w:eastAsia="Times New Roman" w:hAnsi="Times"/>
              </w:rPr>
              <w:lastRenderedPageBreak/>
              <w:t>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Tại Phụ lục I, Nghị định số 30/2019/NĐ-</w:t>
            </w:r>
            <w:r>
              <w:rPr>
                <w:rFonts w:ascii="Times" w:eastAsia="Times New Roman" w:hAnsi="Times"/>
              </w:rPr>
              <w:lastRenderedPageBreak/>
              <w:t>CP ngày về thể thức và kỹ thuật trình bày văn bản hành chính quy định về mẫu thể hiện chức vụ và tên của người có thẩm quyền được thể hiện ng</w:t>
            </w:r>
            <w:r>
              <w:rPr>
                <w:rFonts w:ascii="Times" w:eastAsia="Times New Roman" w:hAnsi="Times"/>
              </w:rPr>
              <w:t xml:space="preserve">ắn gọn: Ví dụ: TL. CHỦ TỊCH CHÁNH VĂN PHÒNG/TRƯỞNG PHÒNG Nguyễn Văn A - Tại các Biểu mẫu số 9, 10, 11, 12 của Phụ lục thuộc Công văn số 4168/BNV-CQĐP ngày 23/6/2025 của Bộ Nội vụ hướng dẫn một số nội dung về sắp xếp TCBM và ĐVHC về mẫu thể hiện chức vụ và </w:t>
            </w:r>
            <w:r>
              <w:rPr>
                <w:rFonts w:ascii="Times" w:eastAsia="Times New Roman" w:hAnsi="Times"/>
              </w:rPr>
              <w:t>tên của người có thẩm quyền được thể hiện như sau: Ví dụ: TL. CHỦ TỊCH CHÁNH VĂN PHÒNG HĐND VÀ UBND /TRƯỞNG PHÒNG KINH TẾ Nguyễn Văn AQuy định thể thức của văn bản hành chính giữa 2 văn bản khác nhau.</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lastRenderedPageBreak/>
              <w:t>sung, thay thế, ban hành mới VBQPPL (the</w:t>
            </w:r>
            <w:r>
              <w:rPr>
                <w:rFonts w:ascii="Times" w:eastAsia="Times New Roman" w:hAnsi="Times"/>
              </w:rPr>
              <w:t>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Sở Tư pháp </w:t>
            </w:r>
            <w:r>
              <w:rPr>
                <w:rFonts w:ascii="Times" w:eastAsia="Times New Roman" w:hAnsi="Times"/>
              </w:rPr>
              <w:lastRenderedPageBreak/>
              <w:t>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10:35:54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a khoản 2 Luật Tổ chức chính quyền địa phương ngày 16/6/2025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a khoản 3 Điều 7 Nghị định số 118/2025/NĐ-CP quy định "Ủy ban n</w:t>
            </w:r>
            <w:r>
              <w:rPr>
                <w:rFonts w:ascii="Times" w:eastAsia="Times New Roman" w:hAnsi="Times"/>
              </w:rPr>
              <w:t xml:space="preserve">hân dân cấp xã quyết định thành lập Trung tâm Phục vụ hành chính công cấp xã là tổ chức hành chính thuộc Ủy ban nhân dân cấp xã, có con dấu và tài khoản riêng để thực hiện nhiệm vụ, quyền hạn được giao". Tuy nhiên, theo quy định tại điểm a khoản 2 Điều 21 </w:t>
            </w:r>
            <w:r>
              <w:rPr>
                <w:rFonts w:ascii="Times" w:eastAsia="Times New Roman" w:hAnsi="Times"/>
              </w:rPr>
              <w:t>Luật Tổ chức chính quyền địa phương thì HĐND xã "Quyết định thành lập, tổ chức lại, thay đổi tên gọi, giải thể cơ quan chuyên môn, tổ chức hành chính khác thuộc Ủy ban nhân dân cùng cấp theo quy định của pháp luật". Quy định trên gây khó khăn cho các cơ qu</w:t>
            </w:r>
            <w:r>
              <w:rPr>
                <w:rFonts w:ascii="Times" w:eastAsia="Times New Roman" w:hAnsi="Times"/>
              </w:rPr>
              <w:t xml:space="preserve">an, địa phương trong việc xác định "Tổ chức hành chính khác" có bao gồm Trung tâm phục vụ hành chính công không? Thẩm </w:t>
            </w:r>
            <w:r>
              <w:rPr>
                <w:rFonts w:ascii="Times" w:eastAsia="Times New Roman" w:hAnsi="Times"/>
              </w:rPr>
              <w:lastRenderedPageBreak/>
              <w:t>quyền thành lập trung tâm phục vụ hành chính công thuộc HĐND hay UBND cấp xã. Do đó, cần thiết hướng dẫn các quy định trên để đảm bảo thực</w:t>
            </w:r>
            <w:r>
              <w:rPr>
                <w:rFonts w:ascii="Times" w:eastAsia="Times New Roman" w:hAnsi="Times"/>
              </w:rPr>
              <w:t xml:space="preserve"> hiện thống nhất trong thực tiễn.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Hà Tĩnh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10:02:12</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4 Điều 30 Luật Lưu trữ năm 2011</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Tại khoản 4 Điều 30 Luật Lưu trữ năm 2011 quy định tài liệu lưu trữ thuộc Danh mục tài liệu có đóng dấu chỉ các mức độ mật được sử dụng rộng rãi trong các trường hợp sau đây: “b) Sau 40 năm, kể từ năm công việc kết thúc đối với tài liệu có đóng dấu Mật n</w:t>
            </w:r>
            <w:r>
              <w:rPr>
                <w:rFonts w:ascii="Times" w:eastAsia="Times New Roman" w:hAnsi="Times"/>
              </w:rPr>
              <w:t xml:space="preserve">hưng chưa được giải Mật; c) Sau 60 năm, kể từ năm công việc kết thúc đối với tài liệu có đóng dấu tối Mật, tuyệt Mật nhưng chưa được giải mật.” Trong khi, tại khoản 1 Điều 19 Luật Bảo vệ bí mật nhà nước quy định: “Thời hạn bảo vệ bí mật nhà nước là khoảng </w:t>
            </w:r>
            <w:r>
              <w:rPr>
                <w:rFonts w:ascii="Times" w:eastAsia="Times New Roman" w:hAnsi="Times"/>
              </w:rPr>
              <w:t xml:space="preserve">thời </w:t>
            </w:r>
            <w:r>
              <w:rPr>
                <w:rFonts w:ascii="Times" w:eastAsia="Times New Roman" w:hAnsi="Times"/>
              </w:rPr>
              <w:lastRenderedPageBreak/>
              <w:t>gian được tính từ ngày xác định độ mật của bí mật nhà nước đến hết thời hạn sau đây: a) 30 năm đối với bí mật nhà nước độ Tuyệt mật; b) 20 năm đối với bí mật nhà nước độ Tối mật; c) 10 năm đối với bí mật nhà nước độ Mật”. Như vậy, thời hạn bảo vệ bí m</w:t>
            </w:r>
            <w:r>
              <w:rPr>
                <w:rFonts w:ascii="Times" w:eastAsia="Times New Roman" w:hAnsi="Times"/>
              </w:rPr>
              <w:t>ật nhà nước giữa Luật Lưu trữ và Luật Bảo vệ bí mật nhà nước chưa thống nhất dẫn đến vướng mắc trong thực tiễn.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Sở Tư pháp tỉnh Hà </w:t>
            </w:r>
            <w:r>
              <w:rPr>
                <w:rFonts w:ascii="Times" w:eastAsia="Times New Roman" w:hAnsi="Times"/>
              </w:rPr>
              <w:t>Tĩnh</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10:02:12</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Tại nội dung 1.1.1 mục 1 phần V của “Đề án sắp xếp, tổ chức lại đơn vị hành chính các cấp và xây dựng mô hình tổ chức chính quyền địa phương 02 cấp” ban hành kèm theo Quyết định số 759/QĐ-TTg ngày 14 tháng 4 năm 20</w:t>
            </w:r>
            <w:r>
              <w:rPr>
                <w:rFonts w:ascii="Times" w:eastAsia="Times New Roman" w:hAnsi="Times"/>
              </w:rPr>
              <w:t xml:space="preserve">25 của Thủ tướng Chính phủ về việc phê duyệt “Đề án sắp xếp, tổ chức lại đơn vị hành chính các cấp </w:t>
            </w:r>
            <w:r>
              <w:rPr>
                <w:rFonts w:ascii="Times" w:eastAsia="Times New Roman" w:hAnsi="Times"/>
              </w:rPr>
              <w:lastRenderedPageBreak/>
              <w:t>và xây dựng mô hình tổ chức chính quyền địa phương 02 cấp” và khoản 11 Điều 1 Nghị định số 67/2025/NĐ-CP ngày 15 tháng 3 năm 2025 sửa đổi, bổ sung</w:t>
            </w:r>
            <w:r>
              <w:rPr>
                <w:rFonts w:ascii="Times" w:eastAsia="Times New Roman" w:hAnsi="Times"/>
              </w:rPr>
              <w:t xml:space="preserve"> một số điều của Nghị định số 178/2024/NĐ-CP ngày 31 tháng 12 năm 2024 về chính sách, chế độ đối với cán bộ, công chức, viên chức, người lao động và lực lượng vũ trang trong thực hiện sắp xếp tổ chức bộ máy của hệ thống chính trị</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Tại nội dung 1.1.1 mục 1 p</w:t>
            </w:r>
            <w:r>
              <w:rPr>
                <w:rFonts w:ascii="Times" w:eastAsia="Times New Roman" w:hAnsi="Times"/>
              </w:rPr>
              <w:t xml:space="preserve">hần V của Để án kẻm theo Quyết định số 759/QĐ-TTg ngày 14 tháng 4 năm 2025 của Thủ tướng Chính phủ quy định: " Bảo lưu chế độ, chính sách tiền lương và phụ cấp chức vụ hiện hưởng (nếu có) của cán bộ, công chức, viên chức được bố trí làm việc tại ĐVHC cấp </w:t>
            </w:r>
            <w:r>
              <w:rPr>
                <w:rFonts w:ascii="Times" w:eastAsia="Times New Roman" w:hAnsi="Times"/>
              </w:rPr>
              <w:t xml:space="preserve">tỉnh mới sau sắp xếp trong thời gian 06 </w:t>
            </w:r>
            <w:r>
              <w:rPr>
                <w:rFonts w:ascii="Times" w:eastAsia="Times New Roman" w:hAnsi="Times"/>
              </w:rPr>
              <w:lastRenderedPageBreak/>
              <w:t>tháng. Sau thời gian này sẽ thực hiện chế độ, chính sách tiền lương và phụ cấp chức vụ phù hợp với quy định mới của pháp luật". quy định này mâu thuẫn với hoản 11 Điều 1 Nghị định số 67/2025/NĐ-CP ngà</w:t>
            </w:r>
            <w:r>
              <w:rPr>
                <w:rFonts w:ascii="Times" w:eastAsia="Times New Roman" w:hAnsi="Times"/>
              </w:rPr>
              <w:t>y 15 tháng 3 năm 2025 sửa đổi, bổ sung một số điều của Nghị định số 178/2024/NĐ-CP ngày 31 tháng 12 năm 2024 về chính sách, chế độ đối với cán bộ, công chức, viên chức, người lao động và lực lượng vũ trang trong thực hiện sắp xếp tổ chức bộ máy của hệ thốn</w:t>
            </w:r>
            <w:r>
              <w:rPr>
                <w:rFonts w:ascii="Times" w:eastAsia="Times New Roman" w:hAnsi="Times"/>
              </w:rPr>
              <w:t>g chính trị như sau: Cán bộ, công chức, viên chức lãnh đạo quản lý thôi giữ chức vụ lãnh đạo, quản lý hoặc được bầu cử, bổ nhiệm giữ chức vụ lãnh đạo, quản lý có mức lương chức vụ hoặc phụ cấp chức vụ lãnh đạo thấp hơn do sắp xếp tổ chức bộ máy, thì được b</w:t>
            </w:r>
            <w:r>
              <w:rPr>
                <w:rFonts w:ascii="Times" w:eastAsia="Times New Roman" w:hAnsi="Times"/>
              </w:rPr>
              <w:t xml:space="preserve">ảo lưu </w:t>
            </w:r>
            <w:r>
              <w:rPr>
                <w:rFonts w:ascii="Times" w:eastAsia="Times New Roman" w:hAnsi="Times"/>
              </w:rPr>
              <w:lastRenderedPageBreak/>
              <w:t>mức lương chức vụ cũ hoặc phụ cấp chức vụ lãnh đạo cũ đến hết nhiệm kỳ bầu cử hoặc hết thời hạn bổ nhiệm. Trường hợp đã giữ chức vụ lãnh đạo, quản lý theo nhiệm kỳ bầu cử hoặc thời hạn bổ nhiệm còn dưới 6 tháng thì được bảo lưu 06 tháng"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w:t>
            </w:r>
            <w:r>
              <w:rPr>
                <w:rFonts w:ascii="Times" w:eastAsia="Times New Roman" w:hAnsi="Times"/>
              </w:rPr>
              <w:t xml:space="preserve">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Cà Mau</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09:16:33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6 Điều 16 Luật Tổ chính chính quyền địa phương ngày 16 tháng 6 năm 2025. - Điểm c kho</w:t>
            </w:r>
            <w:r>
              <w:rPr>
                <w:rFonts w:ascii="Times" w:eastAsia="Times New Roman" w:hAnsi="Times"/>
              </w:rPr>
              <w:t xml:space="preserve">ản 1 Điều 4 Nghị định số 150/2025/NĐ-CP ngày 12 tháng 6 năm 2025 quy định tổ chức các cơ quan chuyên môn thuộc Ủy ban nhân dân tỉnh, thành phố trực thuộc trung ương và Ủy ban nhân dân xã, phường, đặc khu thuộc tỉnh, thành phố trực thuộc trung ương. - Điểm </w:t>
            </w:r>
            <w:r>
              <w:rPr>
                <w:rFonts w:ascii="Times" w:eastAsia="Times New Roman" w:hAnsi="Times"/>
              </w:rPr>
              <w:t xml:space="preserve">a khoản 2 Điều 24 Nghị định số 120/2020/NĐ-CP </w:t>
            </w:r>
            <w:r>
              <w:rPr>
                <w:rFonts w:ascii="Times" w:eastAsia="Times New Roman" w:hAnsi="Times"/>
              </w:rPr>
              <w:lastRenderedPageBreak/>
              <w:t>ngày 07 tháng 10 năm 2020 quy định về thành lập, tổ chức lại, giải thể đơn vị sự nghiệp công lập.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Khoản 6 Điều 16 Luật Tổ chính chính quyền địa phương ngày 16 tháng 6 năm 2025 quy định Ủy ban nhân dân tỉnh có t</w:t>
            </w:r>
            <w:r>
              <w:rPr>
                <w:rFonts w:ascii="Times" w:eastAsia="Times New Roman" w:hAnsi="Times"/>
              </w:rPr>
              <w:t>rách nhiệm: "Quy định chức năng, nhiệm vụ, quyền hạn và cơ cấu tổ chức của cơ quan chuyên môn, tổ chức hành chính khác thuộc Ủy ban nhân dân cấp mình; quyết định thành lập, tổ chức lại, thay đổi tên gọi, giải thể, quy định tổ chức bộ máy, nhiệm vụ, quyền h</w:t>
            </w:r>
            <w:r>
              <w:rPr>
                <w:rFonts w:ascii="Times" w:eastAsia="Times New Roman" w:hAnsi="Times"/>
              </w:rPr>
              <w:t xml:space="preserve">ạn của đơn vị sự nghiệp công lập thuộc Ủy ban nhân dân cấp mình theo quy định của </w:t>
            </w:r>
            <w:r>
              <w:rPr>
                <w:rFonts w:ascii="Times" w:eastAsia="Times New Roman" w:hAnsi="Times"/>
              </w:rPr>
              <w:lastRenderedPageBreak/>
              <w:t>pháp luật.". Điểm c khoản 1 Điều 4 Nghị định số 150/2025/NĐ-CP ngày 12 tháng 6 năm 2025 quy định các Sở trình UBND tinh "Dự thảo quyết định quy định cụ thể chức năng, nhiệm v</w:t>
            </w:r>
            <w:r>
              <w:rPr>
                <w:rFonts w:ascii="Times" w:eastAsia="Times New Roman" w:hAnsi="Times"/>
              </w:rPr>
              <w:t>ụ, quyền hạn và cơ cấu tổ chức của sở; dự thảo quyết định quy định chức năng, nhiệm vụ, quyền hạn và cơ cấu tổ chức của chi cục và đơn vị sự nghiệp công lập (trừ trường hợp pháp luật chuyên ngành có quy định khác) thuộc sở (nếu có)"; Điểm a khoản 2 Điều 24</w:t>
            </w:r>
            <w:r>
              <w:rPr>
                <w:rFonts w:ascii="Times" w:eastAsia="Times New Roman" w:hAnsi="Times"/>
              </w:rPr>
              <w:t xml:space="preserve"> Nghị định số 120/2020/NĐ-CP ngày 07 tháng 10 năm 2020 quy định Chủ tịch Ủy ban nhân dân tỉnh "Quy định chức năng, nhiệm vụ, quyền hạn và cơ cấu tổ chức của các đơn vị sự nghiệp công lập quy định tại điểm b, điểm c và điểm d khoản 4 và khoản 5 Điều 2 Nghị </w:t>
            </w:r>
            <w:r>
              <w:rPr>
                <w:rFonts w:ascii="Times" w:eastAsia="Times New Roman" w:hAnsi="Times"/>
              </w:rPr>
              <w:t xml:space="preserve">định này </w:t>
            </w:r>
            <w:r>
              <w:rPr>
                <w:rFonts w:ascii="Times" w:eastAsia="Times New Roman" w:hAnsi="Times"/>
              </w:rPr>
              <w:lastRenderedPageBreak/>
              <w:t>theo quy định của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Cà Mau</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09:16:33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Điểm a khoản 2 Luật Tổ chính chính quyền địa phương ngày 16 tháng 6 năm 2025 - Điểm a khoản 3 Điều 7 Nghị định số 118/2025/NĐ-CP ngày 09 tháng 6 năm 2025 của Chính phủ</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a khoản 2 Luật Tổ chính chính quyền địa phương ngày 16 tháng 6 năm 2025, quy định</w:t>
            </w:r>
            <w:r>
              <w:rPr>
                <w:rFonts w:ascii="Times" w:eastAsia="Times New Roman" w:hAnsi="Times"/>
              </w:rPr>
              <w:t xml:space="preserve"> thẩm quyền của Hội đồng nhân dân: Quyết định thành lập, tổ chức lại, thay đổi tên gọi, giải thể cơ quan chuyên môn, tổ chức hành chính khác thuộc Ủy ban nhân dân cùng cấp theo quy định của pháp luật”. Tại điểm a khoản 3 Điều 7 Nghị định số 118/2025/NĐ-CP </w:t>
            </w:r>
            <w:r>
              <w:rPr>
                <w:rFonts w:ascii="Times" w:eastAsia="Times New Roman" w:hAnsi="Times"/>
              </w:rPr>
              <w:t xml:space="preserve">ngày 09 tháng 6 năm 2025 của Chính phủ, quy định thẩm quyền của Ủy ban nhân dân cấp xã: “Quyết định thành lập Trung tâm Phục vụ hành chính công cấp xã là tổ chức hành chính thuộc Ủy ban nhân dân cấp xã, có con dấu và tài khoản riêng để thực hiện nhiệm vụ, </w:t>
            </w:r>
            <w:r>
              <w:rPr>
                <w:rFonts w:ascii="Times" w:eastAsia="Times New Roman" w:hAnsi="Times"/>
              </w:rPr>
              <w:t>quyền hạn được giao”.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Cà Mau</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09:16:33</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10, Điều 23 Luật Tổ chức chính quyền, địa phương số 72</w:t>
            </w:r>
            <w:r>
              <w:rPr>
                <w:rFonts w:ascii="Times" w:eastAsia="Times New Roman" w:hAnsi="Times"/>
              </w:rPr>
              <w:t>/2025/QH15 ngày 16/6/2025</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10, Điều 23 Luật Tổ chức chính quyền, địa phương số 72/2025/QH15 ngày 16/6/2025 và Điểm b, khoản 4 Điều 40 Nghị định số 142/2025/NĐ-CP của Chính phủ ngày 12/6/2025 quy định về phân định thẩm quyền của chính quyền địa phươn</w:t>
            </w:r>
            <w:r>
              <w:rPr>
                <w:rFonts w:ascii="Times" w:eastAsia="Times New Roman" w:hAnsi="Times"/>
              </w:rPr>
              <w:t>g hai cấp trong lĩnh vực quản lý nhà nước của Bộ Giáo dục và Đào tạo cùng quy định về thẩm quyền bổ nhiệm về nhân sự quản lý đối với viên chức ngành giáo dục nhưng chồng chéo nhau. - Tại khoản 10, Điều 23 Luật Tổ chức chính quyền, địa phương quy định Nhiệm</w:t>
            </w:r>
            <w:r>
              <w:rPr>
                <w:rFonts w:ascii="Times" w:eastAsia="Times New Roman" w:hAnsi="Times"/>
              </w:rPr>
              <w:t xml:space="preserve"> vụ, quyền hạn của Chủ tịch UBND xã “10. Chỉ đạo và tổ chức thực hiện công tác tuyển dụng, sử dụng, quản lý công chức, viên chức trên địa bàn theo quy định của pháp luật và phân cấp của cơ quan nhà nước cấp trên; quyết </w:t>
            </w:r>
            <w:r>
              <w:rPr>
                <w:rFonts w:ascii="Times" w:eastAsia="Times New Roman" w:hAnsi="Times"/>
              </w:rPr>
              <w:lastRenderedPageBreak/>
              <w:t>định bổ nhiệm, miễn nhiệm, điều động,</w:t>
            </w:r>
            <w:r>
              <w:rPr>
                <w:rFonts w:ascii="Times" w:eastAsia="Times New Roman" w:hAnsi="Times"/>
              </w:rPr>
              <w:t xml:space="preserve"> cách chức người đứng đầu, cấp phó của người đứng đầu cơ quan chuyên môn, tổ chức hành chính khác, đơn vị sự nghiệp công lập thuộc Ủy ban nhân dân cấp mình; quyết định tạm đình chỉ công tác đối với Phó Chủ tịch Ủy ban nhân dân cấp mình, người đứng đầu cơ q</w:t>
            </w:r>
            <w:r>
              <w:rPr>
                <w:rFonts w:ascii="Times" w:eastAsia="Times New Roman" w:hAnsi="Times"/>
              </w:rPr>
              <w:t>uan chuyên môn, tổ chức hành chính khác, đơn vị sự nghiệp công lập thuộc Ủy ban nhân dân cấp mình. - Tại điểm b, khoản 4 Điều 40 Nghị định số 142/2025/NĐ-CP của Chính phủ ngày 12/6/2025 quy định trách nhiệm của Sở Giáo dục và Đào tạo: “Thực hiện tuyển dụng</w:t>
            </w:r>
            <w:r>
              <w:rPr>
                <w:rFonts w:ascii="Times" w:eastAsia="Times New Roman" w:hAnsi="Times"/>
              </w:rPr>
              <w:t xml:space="preserve">, quản lý, sử dụng, bổ nhiệm, thăng hạng chức danh nghề nghiệp, thay đổi chức danh nghề nghiệp, đào tạo, bồi dưỡng, đánh giá đối với đội ngũ </w:t>
            </w:r>
            <w:r>
              <w:rPr>
                <w:rFonts w:ascii="Times" w:eastAsia="Times New Roman" w:hAnsi="Times"/>
              </w:rPr>
              <w:lastRenderedPageBreak/>
              <w:t>nhà giáo, nhân sự quản lý, viên chức và người lao động trong các cơ sở giáo dục công lập trên địa bàn tỉnh theo quy</w:t>
            </w:r>
            <w:r>
              <w:rPr>
                <w:rFonts w:ascii="Times" w:eastAsia="Times New Roman" w:hAnsi="Times"/>
              </w:rPr>
              <w:t xml:space="preserve"> định; chủ trì triển khai thực hiện công tác đào tạo, bồi dưỡng đối với đội ngũ nhà giáo, nhân sự quản lý các cơ sở giáo dục ngoài công lập trên địa bàn tỉnh theo quy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w:t>
            </w:r>
            <w:r>
              <w:rPr>
                <w:rFonts w:ascii="Times" w:eastAsia="Times New Roman" w:hAnsi="Times"/>
              </w:rPr>
              <w:t>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b Khoản 2 Điều 19 Nghị định số 120/2020/NĐ-CP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b Khoản 2 Điều 19. Thẩm quyền của Chính phủ, Thủ tướng Chính phủ (Nghị định số 120/2020/NĐ-CP ngày 07/10/2</w:t>
            </w:r>
            <w:r>
              <w:rPr>
                <w:rFonts w:ascii="Times" w:eastAsia="Times New Roman" w:hAnsi="Times"/>
              </w:rPr>
              <w:t>020 Quy định về thành lập, tổ chức lại, giải thể đơn vị sự nghiệp công lập) quy định b) Quyết định thành lập, tổ chức lại, giải thể: Đơn vị sự nghiệp công lập quy định tại điểm a, b khoản 1, khoản 2, khoản 3, điểm a khoản 4 Điều 2 Nghị định này (trừ đơn vị</w:t>
            </w:r>
            <w:r>
              <w:rPr>
                <w:rFonts w:ascii="Times" w:eastAsia="Times New Roman" w:hAnsi="Times"/>
              </w:rPr>
              <w:t xml:space="preserve"> quy định tại khoản 1 Điều này); đơn vị sự nghiệp </w:t>
            </w:r>
            <w:r>
              <w:rPr>
                <w:rFonts w:ascii="Times" w:eastAsia="Times New Roman" w:hAnsi="Times"/>
              </w:rPr>
              <w:lastRenderedPageBreak/>
              <w:t>công lập thuộc thẩm quyền quyết định của Thủ tướng Chính phủ theo quy định của luật chuyên ngành và đơn vị sự nghiệp công lập khác theo quy định của pháp luật. Mâu thuẫn với Luật Tổ chức chính quyền địa phư</w:t>
            </w:r>
            <w:r>
              <w:rPr>
                <w:rFonts w:ascii="Times" w:eastAsia="Times New Roman" w:hAnsi="Times"/>
              </w:rPr>
              <w:t>ơng năm 2025 tại: Điều 16. Nhiệm vụ, quyền hạn của Ủy ban nhân dân cấp tỉnh 1. Ủy ban nhân dân tỉnh thực hiện nhiệm vụ, quyền hạn sau đây: e) Quy định tổ chức bộ máy và nhiệm vụ, quyền hạn cụ thể của cơ quan chuyên môn thuộc Ủy ban nhân dân cấp mình; quyết</w:t>
            </w:r>
            <w:r>
              <w:rPr>
                <w:rFonts w:ascii="Times" w:eastAsia="Times New Roman" w:hAnsi="Times"/>
              </w:rPr>
              <w:t xml:space="preserve"> định thành lập, tổ chức lại, thay đổi tên gọi, giải thể và quy định tổ chức bộ máy, nhiệm vụ, quyền hạn cụ thể của đơn vị sự nghiệp công lập thuộc Ủy ban nhân dân cấp mình theo quy định của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19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5 Nghị định số 12/2011/NĐ-CP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5. Thẩm quyền thành lập, giải thể và quả</w:t>
            </w:r>
            <w:r>
              <w:rPr>
                <w:rFonts w:ascii="Times" w:eastAsia="Times New Roman" w:hAnsi="Times"/>
              </w:rPr>
              <w:t>n lý thanh niên xung phong, Nghị định số 12/2011/NĐ-CP ngày 30 tháng 01 năm 2011 của Chính phủ: Về tổ chức và chính sách đối với thanh niên xung phong: 1. Thanh niên xung phong chỉ được thành lập khi cần huy động thanh niên để thực hiện nhiệm vụ theo quy đ</w:t>
            </w:r>
            <w:r>
              <w:rPr>
                <w:rFonts w:ascii="Times" w:eastAsia="Times New Roman" w:hAnsi="Times"/>
              </w:rPr>
              <w:t>ịnh tại Điều 4 của Nghị định này trong thời gian từ 24 tháng trở lên. 2. Thẩm quyền thành lập, giải thể và quản lý thanh niên xung phong được quy định như sau: a) Thanh niên xung phong ở Trung ương do Trung ương Đoàn Thanh niên Cộng sản Hồ Chí Minh quyết đ</w:t>
            </w:r>
            <w:r>
              <w:rPr>
                <w:rFonts w:ascii="Times" w:eastAsia="Times New Roman" w:hAnsi="Times"/>
              </w:rPr>
              <w:t xml:space="preserve">ịnh thành lập, giải thể và quản lý; b) Thanh niên xung phong ở tỉnh, thành phố trực thuộc Trung ương (sau đây gọi chung thanh niên xung phong cấp </w:t>
            </w:r>
            <w:r>
              <w:rPr>
                <w:rFonts w:ascii="Times" w:eastAsia="Times New Roman" w:hAnsi="Times"/>
              </w:rPr>
              <w:lastRenderedPageBreak/>
              <w:t>tỉnh) do Đoàn thanh niên Cộng sản Hồ Chí Minh tỉnh, thành quyết định thành lập, giải thể và quản lý. 3. Việc t</w:t>
            </w:r>
            <w:r>
              <w:rPr>
                <w:rFonts w:ascii="Times" w:eastAsia="Times New Roman" w:hAnsi="Times"/>
              </w:rPr>
              <w:t>hành lập thanh niên xung phong phải được sự chấp thuận của cơ quan quản lý nhà nước có thẩm quyền theo quy định của pháp luật. 4. Bộ Nội vụ hướng dẫn về trình tự, thủ tục thành lập, giải thể và quản lý thanh niên xung phong quy định tại Nghị định này. Điểm</w:t>
            </w:r>
            <w:r>
              <w:rPr>
                <w:rFonts w:ascii="Times" w:eastAsia="Times New Roman" w:hAnsi="Times"/>
              </w:rPr>
              <w:t xml:space="preserve"> 7a, mục IV, Điều 1 tại Quyết định số 1331/QĐ-TTg của Thủ tướng Chính phủ ngày 24/7/2021 Ban hành Chiến lược phát triển thanh niên Việt Nam giai đoạn 2021- 203: Ủy ban nhân dân các tỉnh, thành phố trực thuộc trung ương cụ thể hóa và tổ chức thực hiện chính</w:t>
            </w:r>
            <w:r>
              <w:rPr>
                <w:rFonts w:ascii="Times" w:eastAsia="Times New Roman" w:hAnsi="Times"/>
              </w:rPr>
              <w:t xml:space="preserve"> sách, pháp luật về thanh niên theo phân cấp quản lý. Điểm 7đ, mục IV, Điều 1 tại Quyết định số 1331/QĐ-TTg </w:t>
            </w:r>
            <w:r>
              <w:rPr>
                <w:rFonts w:ascii="Times" w:eastAsia="Times New Roman" w:hAnsi="Times"/>
              </w:rPr>
              <w:lastRenderedPageBreak/>
              <w:t xml:space="preserve">của Thủ tướng Chính phủ ngày 24/7/2021 Ban hành Chiến lược phát triển thanh niên Việt Nam giai đoạn 2021- 2023: Ủy ban nhân dân các tỉnh, thành phố </w:t>
            </w:r>
            <w:r>
              <w:rPr>
                <w:rFonts w:ascii="Times" w:eastAsia="Times New Roman" w:hAnsi="Times"/>
              </w:rPr>
              <w:t>trực thuộc trung ương kiện toàn tổ chức bộ máy thực hiện nhiệm vụ quản lý nhà nước về thanh niên các cấp; chú trọng công tác đào tạo, bồi dưỡng, nâng cao trình độ chuyên môn, nghiệp vụ. Ngày 09/3/2021, Chính phủ ban hành Nghị định số 17/2021/NĐ-CP quy định</w:t>
            </w:r>
            <w:r>
              <w:rPr>
                <w:rFonts w:ascii="Times" w:eastAsia="Times New Roman" w:hAnsi="Times"/>
              </w:rPr>
              <w:t xml:space="preserve"> về chính sách đổi với thanh niên xung phong, thanh niên tình nguyện. Tuy nhiên, Nghị định số 17/2021/NĐ-CP chưa quy định về tổ chức thanh niên xung phong và chính sách đối với tổ chức thanh niên xung phong mà tiêp tục thực hiện theo quy định tại Nghị định</w:t>
            </w:r>
            <w:r>
              <w:rPr>
                <w:rFonts w:ascii="Times" w:eastAsia="Times New Roman" w:hAnsi="Times"/>
              </w:rPr>
              <w:t xml:space="preserve"> số 12/2011/NĐ-CP ngày 30/01/2011 của Chính </w:t>
            </w:r>
            <w:r>
              <w:rPr>
                <w:rFonts w:ascii="Times" w:eastAsia="Times New Roman" w:hAnsi="Times"/>
              </w:rPr>
              <w:lastRenderedPageBreak/>
              <w:t>phủ. Đồng thời, Chính phủ chưa có văn bản hướng dẫn quy định để xác định loại hình đơn vị đối với tổ chức Thanh niên xung phong là đơn vị sự nghiệp công lập hay đơn vị sự nghiệp kinh tế. Một số nhiệm vụ, chương t</w:t>
            </w:r>
            <w:r>
              <w:rPr>
                <w:rFonts w:ascii="Times" w:eastAsia="Times New Roman" w:hAnsi="Times"/>
              </w:rPr>
              <w:t xml:space="preserve">rình, đề án, dự án tại Chiến lược phát triển thanh niên Việt Nam giai đoạn 2021 - 2030 theo Quyết định số Quyết định số 1331/QĐ-TTg ngày 24/7/2021 của Chính phủ chưa có văn bản triển khai, thực hiện. Chưa có hướng dẫn về việc kiện toàn tổ chức bộ máy thực </w:t>
            </w:r>
            <w:r>
              <w:rPr>
                <w:rFonts w:ascii="Times" w:eastAsia="Times New Roman" w:hAnsi="Times"/>
              </w:rPr>
              <w:t xml:space="preserve">hiện nhiệm vụ quản lý nhà nước về thanh niên phù hợp với mô hình chính quyền 02 cấp, đáp ứng yêu cầu phát triển thanh niên trong giai đoạn mới. Đề nghị Trung ương ban hành văn bản sửa đổi, bổ sung các quy định về thanh niên xung </w:t>
            </w:r>
            <w:r>
              <w:rPr>
                <w:rFonts w:ascii="Times" w:eastAsia="Times New Roman" w:hAnsi="Times"/>
              </w:rPr>
              <w:lastRenderedPageBreak/>
              <w:t>phong; theo đó, quy định cụ</w:t>
            </w:r>
            <w:r>
              <w:rPr>
                <w:rFonts w:ascii="Times" w:eastAsia="Times New Roman" w:hAnsi="Times"/>
              </w:rPr>
              <w:t xml:space="preserve"> thể loại hình đơn vị đối với các tổ chức thanh niên xung phong tại địa phương để thống nhất áp dụng chế độ, chính sách đối với thanh niên xung phong theo quy định Đề nghị các Bộ, ngành Trung ương sớm triển khai một số nhiệm vụ, chương trình, đề án, dự án </w:t>
            </w:r>
            <w:r>
              <w:rPr>
                <w:rFonts w:ascii="Times" w:eastAsia="Times New Roman" w:hAnsi="Times"/>
              </w:rPr>
              <w:t>để Chiến lược phát triển thanh niên Việt Nam giai đoạn 2021 - 2030 theo Quyết định số Quyết định số 1331/QĐ-TTg ngày 24/7/2021 của Chính phủ để các địa phương có căn cứ triển khai thực hiện, đảm bảo tiến độ được giao; có hướng dẫn về việc kiện toàn tổ chức</w:t>
            </w:r>
            <w:r>
              <w:rPr>
                <w:rFonts w:ascii="Times" w:eastAsia="Times New Roman" w:hAnsi="Times"/>
              </w:rPr>
              <w:t xml:space="preserve"> bộ máy thực hiện nhiệm vụ quản lý nhà nước về thanh niên phù hợp với mô hình chính quyền 02 cấp, đáp ứng yêu cầu phát triển thanh niên trong giai đoạn mới.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VBQPPL </w:t>
            </w:r>
            <w:r>
              <w:rPr>
                <w:rFonts w:ascii="Times" w:eastAsia="Times New Roman" w:hAnsi="Times"/>
              </w:rPr>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2, Điều 14, Nghị định số 128/2025/NĐ-CP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 Khoản 2, Điều 14, Nghị định số 128/2025/NĐ-CP ngày 11/6/2025 quy định về phân quyền, phân cấp trong quản lý nhà nước lĩnh vực nội </w:t>
            </w:r>
            <w:r>
              <w:rPr>
                <w:rFonts w:ascii="Times" w:eastAsia="Times New Roman" w:hAnsi="Times"/>
              </w:rPr>
              <w:t>vụ: Nhiệm vụ, quyền hạn quyết định cơ quan, tổ chức khác của Nhà nước không thuộc trường hợp quy định tại khoản 2, Điều 18 của Luật Lưu trữ nộp hồ sơ, tài liệu vào Lưu trữ lịch sử nhà nước ở địa phương do Chủ tịch UBND cấp tỉnh thực hiện. - Điểm a, khoản 1</w:t>
            </w:r>
            <w:r>
              <w:rPr>
                <w:rFonts w:ascii="Times" w:eastAsia="Times New Roman" w:hAnsi="Times"/>
              </w:rPr>
              <w:t>4, Điều 14, Thông tư số 10/2025/TT-BNV ngày 19/6/2025 quy định về thẩm quyền ban hành danh mục cơ quan, tổ chức của Nhà nước không thuộc trường hợp quy định tại khoản 2 Điều 18 Luật Lưu trữ nộp hồ sơ, tài liệu vào lưu trữ lịch sử của Nhà nước ở cấp tỉnh: S</w:t>
            </w:r>
            <w:r>
              <w:rPr>
                <w:rFonts w:ascii="Times" w:eastAsia="Times New Roman" w:hAnsi="Times"/>
              </w:rPr>
              <w:t xml:space="preserve">ở Nội vụ, trình Ủy ban nhân dân cấp tỉnh ban hành </w:t>
            </w:r>
            <w:r>
              <w:rPr>
                <w:rFonts w:ascii="Times" w:eastAsia="Times New Roman" w:hAnsi="Times"/>
              </w:rPr>
              <w:lastRenderedPageBreak/>
              <w:t>danh mục cơ quan, tổ chức của Nhà nước không thuộc trường hợp quy định tại khoản 2 Điều 18 Luật Lưu trữ nộp hồ sơ, tài liệu vào lưu trữ lịch sử của Nhà nước ở cấp tỉnh theo thẩm quyền; Theo Nghị định số 128</w:t>
            </w:r>
            <w:r>
              <w:rPr>
                <w:rFonts w:ascii="Times" w:eastAsia="Times New Roman" w:hAnsi="Times"/>
              </w:rPr>
              <w:t>/2025/NĐ-CP: thẩm quyền do Chủ tịch UBND cấp tỉnh thực hiện. Tuy nhiên, Thông tư số 10/2025/TT-BNV thì thẩm quyền do UBND cấp tỉnh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w:t>
            </w:r>
            <w:r>
              <w:rPr>
                <w:rFonts w:ascii="Times" w:eastAsia="Times New Roman" w:hAnsi="Times"/>
              </w:rPr>
              <w:t>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38 Nghị định số 113/2025/NĐ-CP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Điều 38, Nghị định số 113/2025/NĐ-CP ngày 03/6/2025 quy định về thủ tục cấp Giấy chứng nhận đủ điều kiện kinh doanh dịch vụ lưu trữ: do Sở Nội vụ tỉnh, thành phố trực thuộc TW cấp theo đề nghị của tổ chức kinh doanh dịch vụ lưu trữ quy định tại điểm a và</w:t>
            </w:r>
            <w:r>
              <w:rPr>
                <w:rFonts w:ascii="Times" w:eastAsia="Times New Roman" w:hAnsi="Times"/>
              </w:rPr>
              <w:t xml:space="preserve"> điểm b khoản 1 Điều 53 Luật Lưu trữ - Điểm d, khoản 14, Điều 2, </w:t>
            </w:r>
            <w:r>
              <w:rPr>
                <w:rFonts w:ascii="Times" w:eastAsia="Times New Roman" w:hAnsi="Times"/>
              </w:rPr>
              <w:lastRenderedPageBreak/>
              <w:t>Thông tư số 10/2025/TT-BNV ngày 19/6/2025: Sở Nội vụ tham mưu, giúp Ủy ban nhân dân cấp tỉnh cấp Giấy chứng nhận đủ điều kiện kinh doanh dịch vụ lưu trữ Theo Nghị định số 113/2025/NĐ-CP: thẩm</w:t>
            </w:r>
            <w:r>
              <w:rPr>
                <w:rFonts w:ascii="Times" w:eastAsia="Times New Roman" w:hAnsi="Times"/>
              </w:rPr>
              <w:t xml:space="preserve"> quyền do Sở Nội vụ thực hiện. Tuy nhiên, Thông tư số 10/2025/TT-BNV thì thẩm quyền do UBND cấp tỉnh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Sở Tư pháp tỉnh Hải </w:t>
            </w:r>
            <w:r>
              <w:rPr>
                <w:rFonts w:ascii="Times" w:eastAsia="Times New Roman" w:hAnsi="Times"/>
              </w:rPr>
              <w:t>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Tại Phụ lục I, Nghị định số 30/2019/NĐ-CP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Tại Phụ lục I, Nghị định số 30/2019/NĐ-CP ngày về thể thức và kỹ thuật trình bày văn bản hành chính quy định về mẫu thể hiện chức vụ và tên của người có thẩm quyền được thể hiện ng</w:t>
            </w:r>
            <w:r>
              <w:rPr>
                <w:rFonts w:ascii="Times" w:eastAsia="Times New Roman" w:hAnsi="Times"/>
              </w:rPr>
              <w:t>ắn gọn: Ví dụ: TL. CHỦ TỊCH CHÁNH VĂN PHÒNG/TRƯỞNG PHÒNG Nguyễn Văn A - Tại các Biểu mẫu số 9, 10, 11, 12 của Phụ lục thuộc Công văn số 4168/BNV-</w:t>
            </w:r>
            <w:r>
              <w:rPr>
                <w:rFonts w:ascii="Times" w:eastAsia="Times New Roman" w:hAnsi="Times"/>
              </w:rPr>
              <w:lastRenderedPageBreak/>
              <w:t xml:space="preserve">CQĐP ngày 23/6/2025 của Bộ Nội vụ hướng dẫn một số nội dung về sắp xếp TCBM và ĐVHC về mẫu thể hiện chức vụ và </w:t>
            </w:r>
            <w:r>
              <w:rPr>
                <w:rFonts w:ascii="Times" w:eastAsia="Times New Roman" w:hAnsi="Times"/>
              </w:rPr>
              <w:t>tên của người có thẩm quyền được thể hiện như sau: Ví dụ: TL. CHỦ TỊCH CHÁNH VĂN PHÒNG HĐND VÀ UBND /TRƯỞNG PHÒNG KINH TẾ Nguyễn Văn AQuy định thể thức của văn bản hành chính giữa 2 văn bản khác nhau.</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w:t>
            </w:r>
            <w:r>
              <w:rPr>
                <w:rFonts w:ascii="Times" w:eastAsia="Times New Roman" w:hAnsi="Times"/>
              </w:rPr>
              <w:t>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Hải Phòng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16-07-2025 08:00:18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c khoản 1 Điều 12 và khoản 1 Điều 21 của Nghị định số 150/2025/NĐ-CP quy định tổ chức các cơ quan chuyên môn thuộc Ủy ban nhân dâ</w:t>
            </w:r>
            <w:r>
              <w:rPr>
                <w:rFonts w:ascii="Times" w:eastAsia="Times New Roman" w:hAnsi="Times"/>
              </w:rPr>
              <w:t>n tỉnh, thành phố trực thuộc trung ương và Ủy ban nhân dân xã, phường, đặc khu thuộc tỉnh, thành phố trực thuộc trung ương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Tại điểm c khoản 1 Điều 12 quy định về chức năng, nhiệm vụ của Phòng cấp xã trình UBND cấp xã: “c) Dự thảo quyết định quy định cụ thể</w:t>
            </w:r>
            <w:r>
              <w:rPr>
                <w:rFonts w:ascii="Times" w:eastAsia="Times New Roman" w:hAnsi="Times"/>
              </w:rPr>
              <w:t xml:space="preserve"> chức năng, nhiệm vụ, quyền hạn và tổ chức bộ máy của phòng.”, trong khi đó, tại khoản 1 Điều 21 không có nội dung về “tổ chức bộ máy của phòng”. Như vậy, nội dung này không có sự thống nhất với nhau. </w:t>
            </w:r>
            <w:r>
              <w:rPr>
                <w:rFonts w:ascii="Times" w:eastAsia="Times New Roman" w:hAnsi="Times"/>
              </w:rPr>
              <w:lastRenderedPageBreak/>
              <w:t xml:space="preserve">Để phù hợp với chức năng nhiệm vụ của phòng chuyên môn </w:t>
            </w:r>
            <w:r>
              <w:rPr>
                <w:rFonts w:ascii="Times" w:eastAsia="Times New Roman" w:hAnsi="Times"/>
              </w:rPr>
              <w:t>cấp xã đề xuất bỏ quy định giao UBND cấp xã quy định cơ cấu tổ chức của phòng chuyên môn (vì phòng chuyên môn cấp xã không có tư cách pháp nhân và chức năng, nhiệm vụ đã được quy định rõ tại Nghị định số 150/2025/NĐ-CP).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w:t>
            </w:r>
            <w:r>
              <w:rPr>
                <w:rFonts w:ascii="Times" w:eastAsia="Times New Roman" w:hAnsi="Times"/>
              </w:rPr>
              <w:t>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15:41:16</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Điểm a khoản 3 điều 7 Nghị định số 118/2025/NĐ-CP ngày 09/6/2025 của Chính phủ.</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Điểm a khoản 3 điều 7 Nghị định số 118/2025/NĐ-CP ngày 09/6/2025 của Chính phủ về thực hiện thủ tục hành chính theo cơ chế một cửa, một cửa liên thông tại bộ phận một cửa và cổng dịch vụ công quốc gia quy định: “Ủy ban nhân dân cấp xã quyết định thành lập </w:t>
            </w:r>
            <w:r>
              <w:rPr>
                <w:rFonts w:ascii="Times" w:eastAsia="Times New Roman" w:hAnsi="Times"/>
              </w:rPr>
              <w:t xml:space="preserve">Trung tâm Phục vụ hành chính công cấp xã là tổ chức hành chính thuộc Ủy ban nhân dân cấp xã, có con dấu và tài khoản riêng để thực </w:t>
            </w:r>
            <w:r>
              <w:rPr>
                <w:rFonts w:ascii="Times" w:eastAsia="Times New Roman" w:hAnsi="Times"/>
              </w:rPr>
              <w:lastRenderedPageBreak/>
              <w:t>hiện nhiệm vụ, quyền hạn được giao”. - Điểm a khoản 2 điều 21 Luật Tổ chức chính quyền địa phương năm 2025 quy định nhiệm vụ,</w:t>
            </w:r>
            <w:r>
              <w:rPr>
                <w:rFonts w:ascii="Times" w:eastAsia="Times New Roman" w:hAnsi="Times"/>
              </w:rPr>
              <w:t xml:space="preserve"> quyền hạn của HĐND xã: “Quyết định thành lập, tổ chức lại, thay đổi tên gọi, giải thể cơ quan chuyên môn, tổ chức hành chính khác thuộc Ủy ban nhân dân cùng cấp theo quy định của pháp luật”. Khoản 5 điều 22 Luật Tổ chức chính quyền địa phương năm 2025 quy</w:t>
            </w:r>
            <w:r>
              <w:rPr>
                <w:rFonts w:ascii="Times" w:eastAsia="Times New Roman" w:hAnsi="Times"/>
              </w:rPr>
              <w:t xml:space="preserve"> định nhiệm vụ, quyền hạn của UBND xã: “... quyết định thành lập, tổ chức lại, thay đổi tên gọi, giải thể, quy định tổ chức bộ máy, nhiệm vụ, quyền hạn của đơn vị sự nghiệp công lập thuộc Ủy ban nhân dân cấp mình theo quy định của pháp luật”. - Như vậy, th</w:t>
            </w:r>
            <w:r>
              <w:rPr>
                <w:rFonts w:ascii="Times" w:eastAsia="Times New Roman" w:hAnsi="Times"/>
              </w:rPr>
              <w:t xml:space="preserve">eo quy định của Luật Tổ chức chính quyền địa phương năm 2025 thì thẩm quyền </w:t>
            </w:r>
            <w:r>
              <w:rPr>
                <w:rFonts w:ascii="Times" w:eastAsia="Times New Roman" w:hAnsi="Times"/>
              </w:rPr>
              <w:lastRenderedPageBreak/>
              <w:t>thành lập Trung tâm Phục vụ hành chính công thuộc về HĐND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w:t>
            </w:r>
            <w:r>
              <w:rPr>
                <w:rFonts w:ascii="Times" w:eastAsia="Times New Roman" w:hAnsi="Times"/>
              </w:rPr>
              <w:t>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Lâm Đồng</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15:41:16</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2 Điều 19 và khoản 3 Điều 20 Nghị định 150/2025/NĐ-CP ngày 12/6/2025 quy định tổ chức các cơ quan chuyên môn thuộc Ủy ban nhân dân tỉnh, thành phố trực thuộc trung ương và Ủy ban nhân dân xã</w:t>
            </w:r>
            <w:r>
              <w:rPr>
                <w:rFonts w:ascii="Times" w:eastAsia="Times New Roman" w:hAnsi="Times"/>
              </w:rPr>
              <w:t>, phường, đặc khu thuộc tỉnh, thành phố trực thuộc trung ương và điểm a, khoản 2, Điều 24 Nghị định 120/2020/NĐ-CP ngày 7/10/2020 quy định về thành lập, tổ chức lại, giải thể đơn vị sự nghiệp công lập.</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Chồng lấn thẩm quyền giữa Ủy ban nhân dân cấp tỉnh và </w:t>
            </w:r>
            <w:r>
              <w:rPr>
                <w:rFonts w:ascii="Times" w:eastAsia="Times New Roman" w:hAnsi="Times"/>
              </w:rPr>
              <w:t>Chủ tịch Ủy ban nhân dân cấp tỉnh về việc quy định chức năng, nhiệm vụ, quyền hạn và cơ cấu tổ chức của đơn vị sự nghiệp công lập thuộc sở.</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w:t>
            </w:r>
            <w:r>
              <w:rPr>
                <w:rFonts w:ascii="Times" w:eastAsia="Times New Roman" w:hAnsi="Times"/>
              </w:rPr>
              <w:t xml:space="preserve">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Bộ Ngoại giao</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14:19:48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26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10, Điều 20 Nghị định 170/2025/NĐ-CP quy định về tuyển dụng, sử dụng và quản lý công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Quy định về thẩm quyền tuyển dụng và bố trí công chức chưa phù hợp với cơ chế biệt phái, luân chuyển cán bộ của </w:t>
            </w:r>
            <w:r>
              <w:rPr>
                <w:rFonts w:ascii="Times" w:eastAsia="Times New Roman" w:hAnsi="Times"/>
              </w:rPr>
              <w:t xml:space="preserve">Bộ Ngoại </w:t>
            </w:r>
            <w:r>
              <w:rPr>
                <w:rFonts w:ascii="Times" w:eastAsia="Times New Roman" w:hAnsi="Times"/>
              </w:rPr>
              <w:lastRenderedPageBreak/>
              <w:t>giao.</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B. Hướng dẫn áp dụng VBQPPL theo quy định tại </w:t>
            </w:r>
            <w:r>
              <w:rPr>
                <w:rFonts w:ascii="Times" w:eastAsia="Times New Roman" w:hAnsi="Times"/>
              </w:rPr>
              <w:lastRenderedPageBreak/>
              <w:t>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Bộ Ngoại giao</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14:19:48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27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Điều 12 Nghị định 171/2025/NĐ-CP quy định về đào tạo, bồi dưỡng công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Chưa có hướng dẫn rõ về chương trình đào tạo, bồi dưỡng riêng phù hợp với công chức biệt phái tại cơ quan đại diện ở nước ngoài.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Bộ Ngoại giao</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14:19:48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28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Điề</w:t>
            </w:r>
            <w:r>
              <w:rPr>
                <w:rFonts w:ascii="Times" w:eastAsia="Times New Roman" w:hAnsi="Times"/>
              </w:rPr>
              <w:t>u 8, Điều 16 Nghị định 172/2025/NĐ-CP quy định về xử lý kỷ luật cán bộ, công chức</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Quy định về xử lý kỷ luật chưa tính đến đặc thù môi trường làm việc tại các cơ quan đại diện Việt Nam ở nước ngoài.</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 Hướng dẫn áp dụng VBQPPL theo quy định tại Điều 61 Luật</w:t>
            </w:r>
            <w:r>
              <w:rPr>
                <w:rFonts w:ascii="Times" w:eastAsia="Times New Roman" w:hAnsi="Times"/>
              </w:rPr>
              <w:t xml:space="preserve">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Bộ Ngoại giao</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14:19:48</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29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Luật Tổ chức chính quyền địa phương</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Việc đẩy mạnh phân cấp, ủy quyền của Luật Tổ chức chính quyền địa phương năm 2025 có sự mâu thuẫn, </w:t>
            </w:r>
            <w:r>
              <w:rPr>
                <w:rFonts w:ascii="Times" w:eastAsia="Times New Roman" w:hAnsi="Times"/>
              </w:rPr>
              <w:lastRenderedPageBreak/>
              <w:t xml:space="preserve">chồng chéo với Nghị định 140/2025/NĐ-CP ngày 12/6/2025 </w:t>
            </w:r>
            <w:r>
              <w:rPr>
                <w:rFonts w:ascii="Times" w:eastAsia="Times New Roman" w:hAnsi="Times"/>
              </w:rPr>
              <w:t>của Chính phủ, cụ thể như sau: Theo khoản 2 Điều 9 Nghị định 140/2025/NĐ-CP ngày 12/6/2025 của Chính phủ quy định về phân định thẩm quyền của chính quyền địa phương 02 cấp trong lĩnh vực quản lý nhà nước của Bộ Xây dựng quy định: “2. Trách nhiệm của đại di</w:t>
            </w:r>
            <w:r>
              <w:rPr>
                <w:rFonts w:ascii="Times" w:eastAsia="Times New Roman" w:hAnsi="Times"/>
              </w:rPr>
              <w:t>ện chủ sở hữu nhà ở thuộc tài sản công là Ủy ban nhân dân cấp tỉnh quy định tại khoản 1 Điều 15 Luật Nhà ở năm 2023 do Ủy ban nhân dân cấp xã thực hiện nếu được ủy quyền.”. Tuy nhiên, theo quy định tại khoản 1 Điều 13, khoản 1 Điều 14 Luật Tổ chức chính qu</w:t>
            </w:r>
            <w:r>
              <w:rPr>
                <w:rFonts w:ascii="Times" w:eastAsia="Times New Roman" w:hAnsi="Times"/>
              </w:rPr>
              <w:t xml:space="preserve">yền địa phương năm 2025 cho phép UBND tỉnh phân cấp, ủy quyền cho UBND cấp xã thực hiện liên tục, thường xuyên một </w:t>
            </w:r>
            <w:r>
              <w:rPr>
                <w:rFonts w:ascii="Times" w:eastAsia="Times New Roman" w:hAnsi="Times"/>
              </w:rPr>
              <w:lastRenderedPageBreak/>
              <w:t>hoặc một số nhiệm vụ, quyền hạn của UBND tỉnh. Như vậy, việc quy định UBND cấp xã chỉ được thực hiện nhiệm vụ tại khoản 2 Điều 9 Nghị định 14</w:t>
            </w:r>
            <w:r>
              <w:rPr>
                <w:rFonts w:ascii="Times" w:eastAsia="Times New Roman" w:hAnsi="Times"/>
              </w:rPr>
              <w:t>0/2025/NĐ-CP nếu được UBND tỉnh ủy quyền là chưa đầy đủ, còn thiếu nội dung phân cấp theo quy định tại khoản 1 Điều 13 Luật Tổ chức chính quyền địa phương năm 2025; thực tế, việc này sẽ hạn chế quyền phân cấp của UBND cấp tỉnh cho UBND cấp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w:t>
            </w:r>
            <w:r>
              <w:rPr>
                <w:rFonts w:ascii="Times" w:eastAsia="Times New Roman" w:hAnsi="Times"/>
              </w:rPr>
              <w:t xml:space="preserve">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Sở Tư pháp tỉnh Khánh Hòa</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14:19:01</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 Điểm a khoản 3 Điều 7 Nghị định số 118/2025/NĐ-CP </w:t>
            </w:r>
            <w:r>
              <w:rPr>
                <w:rFonts w:ascii="Times" w:eastAsia="Times New Roman" w:hAnsi="Times"/>
              </w:rPr>
              <w:t xml:space="preserve">- Điểm a khoản 2 Điều 21 Luật Tổ chức chính quyền địa phương ngày 16/6/2025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Căn cứ điểm a khoản 3 Điều 7 Nghị định số 118/2025/NĐ-CP ngày 09/6/2025 của Chính phủ về thực hiện thủ tục hành chính theo cơ chế một cửa, một cửa liên thông tại Bộ phận Một cửa v</w:t>
            </w:r>
            <w:r>
              <w:rPr>
                <w:rFonts w:ascii="Times" w:eastAsia="Times New Roman" w:hAnsi="Times"/>
              </w:rPr>
              <w:t xml:space="preserve">à Cổng Dịch vụ công quốc gia, quy định: “3. Tại cấp xã a) Ủy ban nhân dân cấp xã quyết định thành lập Trung tâm Phục vụ </w:t>
            </w:r>
            <w:r>
              <w:rPr>
                <w:rFonts w:ascii="Times" w:eastAsia="Times New Roman" w:hAnsi="Times"/>
              </w:rPr>
              <w:lastRenderedPageBreak/>
              <w:t>hành chính công cấp xã là tổ chức hành chính thuộc Ủy ban nhân dân cấp xã, có con dấu và tài khoản riêng để thực hiện nhiệm vụ, quyền hạ</w:t>
            </w:r>
            <w:r>
              <w:rPr>
                <w:rFonts w:ascii="Times" w:eastAsia="Times New Roman" w:hAnsi="Times"/>
              </w:rPr>
              <w:t>n được giao”. Tại điểm a khoản 2 Điều 21 Luật Tổ chức chính quyền địa phương ngày 16/6/2025, quy định nhiệm vụ, quyền hạn của Hội đồng nhân dân xã: “2. Trong lĩnh vực tổ chức bộ máy và xây dựng chính quyền: a) Quyết định thành lập, tổ chức lại, thay đổi tê</w:t>
            </w:r>
            <w:r>
              <w:rPr>
                <w:rFonts w:ascii="Times" w:eastAsia="Times New Roman" w:hAnsi="Times"/>
              </w:rPr>
              <w:t>n gọi, giải thể cơ quan chuyên môn, tổ chức hành chính khác thuộc Ủy ban nhân dân cùng cấp theo quy định của pháp luật”. Trong quá trình triển khai thực hiện chưa có sự thống nhất về thẩm quyền thành lập Trung tâm Phục vụ hành chính công tại cấp xã giữa Ủy</w:t>
            </w:r>
            <w:r>
              <w:rPr>
                <w:rFonts w:ascii="Times" w:eastAsia="Times New Roman" w:hAnsi="Times"/>
              </w:rPr>
              <w:t xml:space="preserve"> ban nhân dân cấp xã và Hội đồng nhân dân cấp xã.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B. Hướng dẫn áp dụng VBQPPL theo quy định tại 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Đồng Tháp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11:01:25</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 Điểm c khoản 2 Điều 15 Luật Tổ chức chính quyền địa phương - Khoản </w:t>
            </w:r>
            <w:r>
              <w:rPr>
                <w:rFonts w:ascii="Times" w:eastAsia="Times New Roman" w:hAnsi="Times"/>
              </w:rPr>
              <w:t xml:space="preserve">2 Điều 67 Nghị định 35/2022/NĐ-CP - Điểm a khoản 2 Điều 7 Nghị định số 118/2025/NĐ-CP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Điểm c khoản 2 Điều 15 Luật Tổ chức chính quyền địa phương ngày 16/6/2025 quy định trách nhiệm của HĐND tỉnh: “Quyết định thành lập, tổ chức lại, thay đổi tên gọi, giải </w:t>
            </w:r>
            <w:r>
              <w:rPr>
                <w:rFonts w:ascii="Times" w:eastAsia="Times New Roman" w:hAnsi="Times"/>
              </w:rPr>
              <w:t>thể cơ quan chuyên môn, tổ chức hành chính khác thuộc Ủy ban nhân dân cùng cấp theo quy định của pháp luật”. Tuy nhiên, tại khoản 2 Điều 67 Nghị định 35/2022/NĐ-CP ngày 28/5/2022 quy định về quản lý khu công nghiệp và khu kinh tế quy định: “Ban quản lý khu</w:t>
            </w:r>
            <w:r>
              <w:rPr>
                <w:rFonts w:ascii="Times" w:eastAsia="Times New Roman" w:hAnsi="Times"/>
              </w:rPr>
              <w:t xml:space="preserve"> công nghiệp, khu kinh tế do Thủ tướng Chính phủ quyết định thành lập; chịu sự chỉ đạo và quản lý về tổ chức, biên chế, chương trình kế hoạch công tác và kinh phí hoạt động của Ủy ban nhân dân cấp tỉnh;” và tại điểm a khoản 2 Điều 7 Nghị định số 118/2025/N</w:t>
            </w:r>
            <w:r>
              <w:rPr>
                <w:rFonts w:ascii="Times" w:eastAsia="Times New Roman" w:hAnsi="Times"/>
              </w:rPr>
              <w:t xml:space="preserve">Đ-CP ngày 09/6/2025 </w:t>
            </w:r>
            <w:r>
              <w:rPr>
                <w:rFonts w:ascii="Times" w:eastAsia="Times New Roman" w:hAnsi="Times"/>
              </w:rPr>
              <w:lastRenderedPageBreak/>
              <w:t xml:space="preserve">của Chính phủ quy định về thực hiện thủ tục hành chính theo cơ chế một cửa, một cửa liên thông tại bộ phận một cửa và cổng dịch vụ công quốc gia quy định: “Ủy ban nhân dân cấp tỉnh quyết định thành lập Trung tâm Phục vụ hành chính công </w:t>
            </w:r>
            <w:r>
              <w:rPr>
                <w:rFonts w:ascii="Times" w:eastAsia="Times New Roman" w:hAnsi="Times"/>
              </w:rPr>
              <w:t xml:space="preserve">cấp tỉnh là tổ chức hành chính thuộc Văn phòng Ủy ban nhân dân cấp tỉnh, có con dấu và tài khoản riêng để thực hiện nhiệm vụ, quyền hạn được giao”. Các quy định nêu trên chưa đảm bảo thống nhất trong thành lập tổ chức hành chính.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w:t>
            </w:r>
            <w:r>
              <w:rPr>
                <w:rFonts w:ascii="Times" w:eastAsia="Times New Roman" w:hAnsi="Times"/>
              </w:rPr>
              <w:t xml:space="preserve">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Đồng Tháp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11:01:25</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Khoản 2 Điều 19 Nghị định số 150/2025/NĐ-CP - Khoản 3 Điều 20 Nghị định số 150/2025/NĐ-CP - Thông tư s</w:t>
            </w:r>
            <w:r>
              <w:rPr>
                <w:rFonts w:ascii="Times" w:eastAsia="Times New Roman" w:hAnsi="Times"/>
              </w:rPr>
              <w:t xml:space="preserve">ố 09/2025/TT-BTP; - Thông tư số 37/2025/TT-BCT; -Thông tư số </w:t>
            </w:r>
            <w:r>
              <w:rPr>
                <w:rFonts w:ascii="Times" w:eastAsia="Times New Roman" w:hAnsi="Times"/>
              </w:rPr>
              <w:lastRenderedPageBreak/>
              <w:t xml:space="preserve">10/2025/TT-BVHTTDL - Điểm a khoản 2 Điều 2 Thông tư số 57/2025/TT-BTC </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Căn cứ khoản 2 Điều 19 Nghị định số 150/2025/NĐ-CP ngày 12/6/2025 của Chính phủ quy định tổ chức các cơ quan chuyên môn thuộc Ủy ban nhân dân Tỉnh, thành phố trực thuộc trung ương và Ủy ban nhân dân xã, phường, </w:t>
            </w:r>
            <w:r>
              <w:rPr>
                <w:rFonts w:ascii="Times" w:eastAsia="Times New Roman" w:hAnsi="Times"/>
              </w:rPr>
              <w:lastRenderedPageBreak/>
              <w:t>đặc khu thuộc tỉnh, thành phố trực thuộc trun</w:t>
            </w:r>
            <w:r>
              <w:rPr>
                <w:rFonts w:ascii="Times" w:eastAsia="Times New Roman" w:hAnsi="Times"/>
              </w:rPr>
              <w:t>g ương, quy định: “Ủy ban nhân dân cấp tỉnh quy định chức năng, nhiệm vụ, quyền hạn và cơ cấu tổ chức của chi cục, đơn vị sự nghiệp công lập thuộc sở theo quy định tại Nghị định này, trừ trường hợp pháp luật chuyên ngành có quy định khác.” Tại khoản 3 Điều</w:t>
            </w:r>
            <w:r>
              <w:rPr>
                <w:rFonts w:ascii="Times" w:eastAsia="Times New Roman" w:hAnsi="Times"/>
              </w:rPr>
              <w:t xml:space="preserve"> 20 Nghị định số 150/2025/NĐ-CP, quy định: “Chủ tịch Ủy ban nhân dân quy định chức năng, nhiệm vụ, quyền hạn và cơ cấu tổ chức của đơn vị sự nghiệp công lập thuộc sở theo quy định của pháp luật chuyên ngành và đơn vị sự nghiệp công lập thuộc chi cục thuộc </w:t>
            </w:r>
            <w:r>
              <w:rPr>
                <w:rFonts w:ascii="Times" w:eastAsia="Times New Roman" w:hAnsi="Times"/>
              </w:rPr>
              <w:t xml:space="preserve">sở”. Nhằm triển khai thực hiện Nghị định số 150/2025/NĐ-CP, Bộ trưởng một số lĩnh vực như: Tư pháp; Công Thương; Văn hóa, thể thao và Du lịch,... đã ban hành Thông tư </w:t>
            </w:r>
            <w:r>
              <w:rPr>
                <w:rFonts w:ascii="Times" w:eastAsia="Times New Roman" w:hAnsi="Times"/>
              </w:rPr>
              <w:lastRenderedPageBreak/>
              <w:t>hướng dẫn chức năng, nhiệm vụ, quyền hạn của các cơ quan chuyên môn thuộc Ủy ban nhân dân</w:t>
            </w:r>
            <w:r>
              <w:rPr>
                <w:rFonts w:ascii="Times" w:eastAsia="Times New Roman" w:hAnsi="Times"/>
              </w:rPr>
              <w:t xml:space="preserve"> Tỉnh, thành phố trực thuộc trung ương tại Thông tư số 09/2025/TT-BTP; Thông tư số 37/2025/TT-BCT; Thông tư số 10/2025/TT-BVHTTDL quy định trách nhiệm của các cơ quan chuyên môn trình Ủy ban nhân dân Tỉnh “dự thảo quyết định quy định chức năng, nhiệm vụ, q</w:t>
            </w:r>
            <w:r>
              <w:rPr>
                <w:rFonts w:ascii="Times" w:eastAsia="Times New Roman" w:hAnsi="Times"/>
              </w:rPr>
              <w:t>uyền hạn và cơ cấu tổ chức đơn vị sự nghiệp công lập, trừ trường hợp pháp luật chuyên ngành có quy định khác”; trình Ủy ban nhân dân Tỉnh “Dự thảo quyết định quy định chức năng, nhiệm vụ, quyền hạn và cơ cấu tổ chức của đơn vị sự nghiệp công lập theo quy đ</w:t>
            </w:r>
            <w:r>
              <w:rPr>
                <w:rFonts w:ascii="Times" w:eastAsia="Times New Roman" w:hAnsi="Times"/>
              </w:rPr>
              <w:t xml:space="preserve">ịnh của pháp luật chuyên ngành”. Tuy nhiên, tại điểm a khoản 2 Điều 2 </w:t>
            </w:r>
            <w:r>
              <w:rPr>
                <w:rFonts w:ascii="Times" w:eastAsia="Times New Roman" w:hAnsi="Times"/>
              </w:rPr>
              <w:lastRenderedPageBreak/>
              <w:t>Thông tư số 57/2025/TT-BTC ngày 25/6/2025 của Bộ trưởng Bộ Tài chính hướng dẫn chức năng, nhiệm vụ, quyền hạn của Sở Tài chính, quy định trách nhiệm Sở Tài chính trình Chủ tịch Ủy ban nh</w:t>
            </w:r>
            <w:r>
              <w:rPr>
                <w:rFonts w:ascii="Times" w:eastAsia="Times New Roman" w:hAnsi="Times"/>
              </w:rPr>
              <w:t>ân dân Tỉnh “Dự thảo quyết định quy định chức năng, nhiệm vụ, quyền hạn và cơ cấu tổ chức của đơn vị sự nghiệp công lập thuộc Sở Tài chính thuộc thẩm quyền ban hành của Chủ tịch Ủy ban nhân dân cấp tỉnh theo quy định pháp luật”. Từ các căn cứ trên, nhận th</w:t>
            </w:r>
            <w:r>
              <w:rPr>
                <w:rFonts w:ascii="Times" w:eastAsia="Times New Roman" w:hAnsi="Times"/>
              </w:rPr>
              <w:t xml:space="preserve">ấy các Thông tư quy định trách nhiệm của các cơ quan chuyên môn chưa thống nhất với nhau trong việc tham mưu trình Ủy ban hay Chủ tịch Ủy ban nhân dân Tỉnh đối với “Dự thảo quyết định quy định chức năng, nhiệm vụ, quyền hạn và cơ cấu tổ chức của đơn vị sự </w:t>
            </w:r>
            <w:r>
              <w:rPr>
                <w:rFonts w:ascii="Times" w:eastAsia="Times New Roman" w:hAnsi="Times"/>
              </w:rPr>
              <w:t xml:space="preserve">nghiệp </w:t>
            </w:r>
            <w:r>
              <w:rPr>
                <w:rFonts w:ascii="Times" w:eastAsia="Times New Roman" w:hAnsi="Times"/>
              </w:rPr>
              <w:lastRenderedPageBreak/>
              <w:t xml:space="preserve">công lập”.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Sở Tư pháp tỉnh Đồng Tháp</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15-07-2025 11:01:25</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Nghị định số 33/2023/NĐ-CP ngày 10/6/2023 của Chính phủ về q</w:t>
            </w:r>
            <w:r>
              <w:rPr>
                <w:rFonts w:ascii="Times" w:eastAsia="Times New Roman" w:hAnsi="Times"/>
              </w:rPr>
              <w:t>uy định cán bộ, công chức cấp xã và người hoạt động không chuyên trách ở cấp xã, ở thôn, tổ dân phố.</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 Theo điểm c khoản 1 Điều 14 Nghị định số 33/2023/NĐ-CP quy định người thôi giữ chức vụ cán bộ ở cấp xã (trừ hình thức kỷ luật bãi nhiệm) thuộc đối tượng </w:t>
            </w:r>
            <w:r>
              <w:rPr>
                <w:rFonts w:ascii="Times" w:eastAsia="Times New Roman" w:hAnsi="Times"/>
              </w:rPr>
              <w:t>tiếp nhận vào làm công chức cấp xã và phải đáp ứng tiêu chuẩn, điều kiện theo điểm a khoản 2 Điều 18 Nghị định số 138/2020/NĐ-CP Quy định về tuyển dụng, sử dụng và quản lý công chức (được sửa đổi, bổ sung tại khoản 11 Điều 1 Nghị định số 116/2024/NĐ-CP ngà</w:t>
            </w:r>
            <w:r>
              <w:rPr>
                <w:rFonts w:ascii="Times" w:eastAsia="Times New Roman" w:hAnsi="Times"/>
              </w:rPr>
              <w:t xml:space="preserve">y 17/9/2024): “a) Trường hợp quy định tại các điểm a, b và c khoản 1 Điều này phải có đủ 05 năm công tác trở lên theo đúng quy định của pháp luật, có đóng bảo hiểm xã hội bắt buộc (không tính thời gian tập sự, thử việc, nếu không liên tục và chưa nhận trợ </w:t>
            </w:r>
            <w:r>
              <w:rPr>
                <w:rFonts w:ascii="Times" w:eastAsia="Times New Roman" w:hAnsi="Times"/>
              </w:rPr>
              <w:t xml:space="preserve">cấp bảo hiểm xã hội </w:t>
            </w:r>
            <w:r>
              <w:rPr>
                <w:rFonts w:ascii="Times" w:eastAsia="Times New Roman" w:hAnsi="Times"/>
              </w:rPr>
              <w:lastRenderedPageBreak/>
              <w:t xml:space="preserve">01 lần thì được cộng dồn, kể cả thời gian công tác nếu có trước đó ở vị trí công việc quy định tại các điểm a, b, c và d khoản 1 Điều này), làm công việc có yêu cầu trình độ chuyên môn, nghiệp vụ phù hợp với công việc ở vị trí việc làm </w:t>
            </w:r>
            <w:r>
              <w:rPr>
                <w:rFonts w:ascii="Times" w:eastAsia="Times New Roman" w:hAnsi="Times"/>
              </w:rPr>
              <w:t>dự kiến tiếp nhận”. Như vậy, đối với cán bộ cấp xã (nhất là cán bộ giữ chức vụ trong các tổ chức chính trị, xã hội) sẽ không đảm bảo tiêu chuẩn “…làm công việc có yêu cầu trình độ chuyên môn, nghiệp vụ phù hợp với công việc ở vị trí việc làm dự kiến tiếp n</w:t>
            </w:r>
            <w:r>
              <w:rPr>
                <w:rFonts w:ascii="Times" w:eastAsia="Times New Roman" w:hAnsi="Times"/>
              </w:rPr>
              <w:t xml:space="preserve">hận”vì thời gian công tác giữ chức vụ của cán bộ thường làm nhiệm vụ liên quan đến tổ chức chính trị, xã hội của mình, không làm nhiệm vụ chuyên môn như đối với công chức cấp xã. - Theo Văn bản số 7765/BNV-CQĐP </w:t>
            </w:r>
            <w:r>
              <w:rPr>
                <w:rFonts w:ascii="Times" w:eastAsia="Times New Roman" w:hAnsi="Times"/>
              </w:rPr>
              <w:lastRenderedPageBreak/>
              <w:t>ngày 02/12/2024 của Bộ Nội vụ về hướng dẫn mộ</w:t>
            </w:r>
            <w:r>
              <w:rPr>
                <w:rFonts w:ascii="Times" w:eastAsia="Times New Roman" w:hAnsi="Times"/>
              </w:rPr>
              <w:t xml:space="preserve">t số nội dung liên quan đến cán bộ, công chức cấp xã trả lời Sở Nội vụ tỉnh Quảng Ngãi, theo đó Bộ Nội vụ trả lời: “… Nghị định số 33 không quy định trường hợp đang là cán bộ cấp xã phải thực hiện quy trình tiếp nhận khi chuyển sang công chức cấp xã. Theo </w:t>
            </w:r>
            <w:r>
              <w:rPr>
                <w:rFonts w:ascii="Times" w:eastAsia="Times New Roman" w:hAnsi="Times"/>
              </w:rPr>
              <w:t>đó, trường hợp đang là cán bộ cấp xã, khi bố trí làm công chức cấp xã, đề nghị thực hiện quy trình điều động (tương tự như đối với cán bộ từ cấp huyện trở lên theo nguyên tắc quy định tại Điều 26 Luật Cán bộ, công chức) và người được bố trí làm công chức c</w:t>
            </w:r>
            <w:r>
              <w:rPr>
                <w:rFonts w:ascii="Times" w:eastAsia="Times New Roman" w:hAnsi="Times"/>
              </w:rPr>
              <w:t xml:space="preserve">ấp xã phải bảo đảm tiêu chuẩn của chức danh công chức cấp xã dự kiến đảm nhiệm theo quy định của cấp có thẩm quyền”. Tuy nhiên, Điều 26 Luật Cán bộ, công chức áp </w:t>
            </w:r>
            <w:r>
              <w:rPr>
                <w:rFonts w:ascii="Times" w:eastAsia="Times New Roman" w:hAnsi="Times"/>
              </w:rPr>
              <w:lastRenderedPageBreak/>
              <w:t>dụng đối với điều động cán bộ từ cấp huyện trở lên, không quy định đối với cán bộ cấp xã. Đồng</w:t>
            </w:r>
            <w:r>
              <w:rPr>
                <w:rFonts w:ascii="Times" w:eastAsia="Times New Roman" w:hAnsi="Times"/>
              </w:rPr>
              <w:t xml:space="preserve"> thời, Nghị định số 33/2023/NĐ-CP cũng không quy định cụ thể cán bộ cấp xã được điều động qua công chức cấp xã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Quản</w:t>
            </w:r>
            <w:r>
              <w:rPr>
                <w:rFonts w:ascii="Times" w:eastAsia="Times New Roman" w:hAnsi="Times"/>
              </w:rPr>
              <w:t>g Ngãi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21:29:11</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Thông tư số 04/2012/TT-BNV ngày 31/8/2012 của Bộ trưởng Bộ Nội vụ hướng dẫn về tổ chức và hoạt động của thôn, tổ dân phố (được sửa đổi, bổ sung tại Thông tư số 14/2018/TT-BNV và Thông tư số 05/2022/TT-BNV)</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Căn cứ pháp lý ba</w:t>
            </w:r>
            <w:r>
              <w:rPr>
                <w:rFonts w:ascii="Times" w:eastAsia="Times New Roman" w:hAnsi="Times"/>
              </w:rPr>
              <w:t>n hành các Thông tư số 04/2012/TT-BNV ngày 31/8/2012; Thông tư số 14/2018/TT-BNV ngày 03/12/2018; Thông tư số 05/2022/TT-BNV ngày 23/5/2022 của Bộ Nội vụ về tổ chức và hoạt động của thôn, tổ dân phố đã được bãi bỏ tại khoản 2 Điều 90 Luật Thực hiện dân chủ</w:t>
            </w:r>
            <w:r>
              <w:rPr>
                <w:rFonts w:ascii="Times" w:eastAsia="Times New Roman" w:hAnsi="Times"/>
              </w:rPr>
              <w:t xml:space="preserve"> ở cơ sở năm 2022</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Sở Tư pháp tỉnh Quảng Ngãi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21:29:11</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35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Thông tư liên tịch số 01/2013/TTLT-BNV-BQP ngày 10/4/2013 của Bộ Nội vụ, Bộ Quốc phòng Hướng dẫn </w:t>
            </w:r>
            <w:r>
              <w:rPr>
                <w:rFonts w:ascii="Times" w:eastAsia="Times New Roman" w:hAnsi="Times"/>
              </w:rPr>
              <w:lastRenderedPageBreak/>
              <w:t>việc quy hoạch, đào tạo, bồi dưỡng và bố trí sử dụng Chỉ huy trưởng, Chỉ huy phó Ban Chỉ huy quân sự xã, phường, thị trấn</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Hiện nay chức danh Chỉ huy trưởng Ban</w:t>
            </w:r>
            <w:r>
              <w:rPr>
                <w:rFonts w:ascii="Times" w:eastAsia="Times New Roman" w:hAnsi="Times"/>
              </w:rPr>
              <w:t xml:space="preserve"> Chỉ huy quân sự cấp xã (công chức cấp xã) và Phó Chỉ huy trưởng Ban Chỉ huy quân sự </w:t>
            </w:r>
            <w:r>
              <w:rPr>
                <w:rFonts w:ascii="Times" w:eastAsia="Times New Roman" w:hAnsi="Times"/>
              </w:rPr>
              <w:lastRenderedPageBreak/>
              <w:t>cấp xã (người hoạt động không chuyên trách cấp xã) thuộc đối tượng điều chỉnh bởi Nghị định số 33/2023/NĐ-CP ngày 10/6/2023 của Chính phủ về quy định cán bộ, công chức cấp</w:t>
            </w:r>
            <w:r>
              <w:rPr>
                <w:rFonts w:ascii="Times" w:eastAsia="Times New Roman" w:hAnsi="Times"/>
              </w:rPr>
              <w:t xml:space="preserve"> xã và người hoạt động không chuyên trách ở cấp xã, ở thôn, tổ dân phố. Đề nghị cấp thẩm quyền sớm sửa đổi, bổ sung hoặc ban hành mới Thông tư hướng dẫn, thay thế Thông tư số 01/2013/TTLT-BNV-BQP ngày 10/4/2013 phù hợp với Nghị định số 33/2023/NĐ-CP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w:t>
            </w:r>
            <w:r>
              <w:rPr>
                <w:rFonts w:ascii="Times" w:eastAsia="Times New Roman" w:hAnsi="Times"/>
              </w:rPr>
              <w:t xml:space="preserve">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Sở Tư pháp tỉnh Quảng Ngãi</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21:29:11</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2 Điều 16 Nghị định 44/2016/NĐ-CP ngày 15 tháng 5 năm 2016 nay đã được sửa đổi</w:t>
            </w:r>
            <w:r>
              <w:rPr>
                <w:rFonts w:ascii="Times" w:eastAsia="Times New Roman" w:hAnsi="Times"/>
              </w:rPr>
              <w:t xml:space="preserve"> tại Nghị định số 04/2023/NĐ-CP, ngày 13 tháng 02 năm 2023</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“Khai báo đến Sở Lao động - Thương binh và Xã hội tại địa phương trong khoảng thời gian 30 ngày kể từ ngày đưa vào sử dụng các loại máy, thiết bị, vật tư có yêu cầu nghiêm ngặt về an toàn lao động”</w:t>
            </w:r>
            <w:r>
              <w:rPr>
                <w:rFonts w:ascii="Times" w:eastAsia="Times New Roman" w:hAnsi="Times"/>
              </w:rPr>
              <w:t xml:space="preserve">. Việc chưa quy định cụ thể những trường hợp </w:t>
            </w:r>
            <w:r>
              <w:rPr>
                <w:rFonts w:ascii="Times" w:eastAsia="Times New Roman" w:hAnsi="Times"/>
              </w:rPr>
              <w:lastRenderedPageBreak/>
              <w:t>máy, thiết bị, vật tư có yêu cầu nghiêm ngặt về an toàn lao động khi đưa vào sử dụng là lần đầu hay sau chuyển nhượng hay sau sửa chữa/cải tạo thì phải khai báo gây khó khăn cho người thực hiện.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C. Sửa đổi, bổ s</w:t>
            </w:r>
            <w:r>
              <w:rPr>
                <w:rFonts w:ascii="Times" w:eastAsia="Times New Roman" w:hAnsi="Times"/>
              </w:rPr>
              <w:t xml:space="preserve">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Tập đoàn công nghiệp Than - Khoáng sản Việt Nam</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14:35:34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Khoản 1 Điều 24 Nghị định 44/2016/NĐ-CP ngày 15 tháng 5 năm 2016</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Tổ chức </w:t>
            </w:r>
            <w:r>
              <w:rPr>
                <w:rFonts w:ascii="Times" w:eastAsia="Times New Roman" w:hAnsi="Times"/>
              </w:rPr>
              <w:t xml:space="preserve">huấn luyện, doanh nghiệp đủ điều kiện tự huấn luyện cấp Giấy chứng nhận huấn luyện cho người được huấn luyện thuộc các nhóm 1, 2, 5 và 6 sau khi kiểm tra, sát hạch đạt yêu cầu. Đối với nhóm 6 đề xuất không cấp Giấy chứng nhận huấn luyện mà cấp Thẻ an toàn </w:t>
            </w:r>
            <w:r>
              <w:rPr>
                <w:rFonts w:ascii="Times" w:eastAsia="Times New Roman" w:hAnsi="Times"/>
              </w:rPr>
              <w:t>vệ sinh viên (Do người sử dụng lao động căn cứ vào kết quả của đơn vị huấn luyện để cấp thẻ).</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Tập đoàn công nghiệp Than - Khoáng sả</w:t>
            </w:r>
            <w:r>
              <w:rPr>
                <w:rFonts w:ascii="Times" w:eastAsia="Times New Roman" w:hAnsi="Times"/>
              </w:rPr>
              <w:t>n Việt Nam</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14:35:34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38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Nghị định 39/2016/NĐ-CP ngày 15/5/2016</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Chưa có hướng dẫn cụ thể về đánh giá rủi ro cho từng ngành nghề: Nghị định quy định chung về đánh giá rủi </w:t>
            </w:r>
            <w:r>
              <w:rPr>
                <w:rFonts w:ascii="Times" w:eastAsia="Times New Roman" w:hAnsi="Times"/>
              </w:rPr>
              <w:lastRenderedPageBreak/>
              <w:t>ro, chưa có hướng dẫn chi tiết cho từng lĩnh vực sản xuất đặc thù như sản xuất alumina khiến việc triển khai gặp khó khăn. Cần ban hành hướng dẫn cụ t</w:t>
            </w:r>
            <w:r>
              <w:rPr>
                <w:rFonts w:ascii="Times" w:eastAsia="Times New Roman" w:hAnsi="Times"/>
              </w:rPr>
              <w:t>hể về đánh giá rủi ro cho từng ngành nghề, giúp doanh nghiệp thực hiện hiệu quả hơn.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Tập đoàn công nghiệp Than - </w:t>
            </w:r>
            <w:r>
              <w:rPr>
                <w:rFonts w:ascii="Times" w:eastAsia="Times New Roman" w:hAnsi="Times"/>
              </w:rPr>
              <w:lastRenderedPageBreak/>
              <w:t>Khoáng sản Việt Na</w:t>
            </w:r>
            <w:r>
              <w:rPr>
                <w:rFonts w:ascii="Times" w:eastAsia="Times New Roman" w:hAnsi="Times"/>
              </w:rPr>
              <w:t>m</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14:35:34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lastRenderedPageBreak/>
              <w:t>39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Thông tư số 54/2016/TT-BLĐTBXH ngày 28/12/2016 ban hành 30 quy trình kiểm định kỹ thuật an toàn đối với máy, thiết bị, vật tư có yêu cầu nghiêm ngặt về ALTĐ thuộc thẩm quyền quản lý của Bộ LĐTBXH</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Tại các quy trình kiểm định được</w:t>
            </w:r>
            <w:r>
              <w:rPr>
                <w:rFonts w:ascii="Times" w:eastAsia="Times New Roman" w:hAnsi="Times"/>
              </w:rPr>
              <w:t xml:space="preserve"> đề cập trong Thông tư, hiện đang định nghĩa về các trường hợp kiểm định an toàn bất thường trong đó có nội dung “sau khi sửa chữa, nâng cấp, cải tạo có ảnh hưởng tới tình trạng an toàn của thiết bị”. Nội dung định nghĩa như trên hiện đang gây khó khăn cho</w:t>
            </w:r>
            <w:r>
              <w:rPr>
                <w:rFonts w:ascii="Times" w:eastAsia="Times New Roman" w:hAnsi="Times"/>
              </w:rPr>
              <w:t xml:space="preserve"> các đơn vị sử dụng thiết bị, do chưa liệt kê cụ thể những hạng mục công việc/chi tiết/bộ phận của các thiết bị.</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Tập đoàn công nghi</w:t>
            </w:r>
            <w:r>
              <w:rPr>
                <w:rFonts w:ascii="Times" w:eastAsia="Times New Roman" w:hAnsi="Times"/>
              </w:rPr>
              <w:t>ệp Than - Khoáng sản Việt Nam</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13-07-2025 14:35:34</w:t>
            </w:r>
          </w:p>
        </w:tc>
      </w:tr>
      <w:tr w:rsidR="00000000">
        <w:trPr>
          <w:divId w:val="1502626438"/>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rPr>
            </w:pPr>
            <w:r>
              <w:rPr>
                <w:rFonts w:ascii="Times" w:eastAsia="Times New Roman" w:hAnsi="Times"/>
              </w:rPr>
              <w:t>40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t xml:space="preserve">Đề nghị xem lại quy định về nhiệm kỳ của </w:t>
            </w:r>
            <w:r>
              <w:rPr>
                <w:rFonts w:ascii="Times" w:eastAsia="Times New Roman" w:hAnsi="Times"/>
              </w:rPr>
              <w:lastRenderedPageBreak/>
              <w:t>người đại diện phần vốn theo nhiệm kỳ của HĐQT. Luật Doanh nghiệp năm 2020 không có quy định về nhiệm kỳ HĐQT mà chỉ quy định về nhiệm kỳ của thành viên HĐQT (khoản 2, Điều 154).</w:t>
            </w:r>
          </w:p>
        </w:tc>
        <w:tc>
          <w:tcPr>
            <w:tcW w:w="12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Khoản 1, Điều 45. Thời hạn cử người </w:t>
            </w:r>
            <w:r>
              <w:rPr>
                <w:rFonts w:ascii="Times" w:eastAsia="Times New Roman" w:hAnsi="Times"/>
              </w:rPr>
              <w:t xml:space="preserve">đại </w:t>
            </w:r>
            <w:r>
              <w:rPr>
                <w:rFonts w:ascii="Times" w:eastAsia="Times New Roman" w:hAnsi="Times"/>
              </w:rPr>
              <w:lastRenderedPageBreak/>
              <w:t xml:space="preserve">diện phần vốn nhà nước được xác định không quá nhiệm kỳ của Hội đồng thành viên, Hội đồng quản trị.Trường hợp người đại diện phần vốn nhà nước được cơ quan đại diện chủ sở hữu đề cử để bầu, bổ nhiệm chức danh quản lý giữa nhiệm kỳ của chức danh đó thì </w:t>
            </w:r>
            <w:r>
              <w:rPr>
                <w:rFonts w:ascii="Times" w:eastAsia="Times New Roman" w:hAnsi="Times"/>
              </w:rPr>
              <w:t>thời hạn làm đại diện phần vốn nhà nước là thời gian còn lại của nhiệm kỳ đó theo quy định của điều lệ doanh nghiệp.(Nghị định 159/NĐ-CP của Chính phủ)</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C. Sửa đổi, bổ </w:t>
            </w:r>
            <w:r>
              <w:rPr>
                <w:rFonts w:ascii="Times" w:eastAsia="Times New Roman" w:hAnsi="Times"/>
              </w:rPr>
              <w:lastRenderedPageBreak/>
              <w:t>sung, thay thế, ban hành mới VBQPPL (theo trình tự, thủ tục rút gọn ban hành VBQPPL của L</w:t>
            </w:r>
            <w:r>
              <w:rPr>
                <w:rFonts w:ascii="Times" w:eastAsia="Times New Roman" w:hAnsi="Times"/>
              </w:rPr>
              <w:t>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r>
              <w:rPr>
                <w:rFonts w:ascii="Times" w:eastAsia="Times New Roman" w:hAnsi="Times"/>
              </w:rPr>
              <w:lastRenderedPageBreak/>
              <w:t xml:space="preserve">Tập đoàn </w:t>
            </w:r>
            <w:r>
              <w:rPr>
                <w:rFonts w:ascii="Times" w:eastAsia="Times New Roman" w:hAnsi="Times"/>
              </w:rPr>
              <w:lastRenderedPageBreak/>
              <w:t xml:space="preserve">Công nghiệp - Năng lượng Quốc gia Việt Nam </w:t>
            </w: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ascii="Times" w:eastAsia="Times New Roman" w:hAnsi="Times"/>
              </w:rPr>
            </w:pPr>
          </w:p>
        </w:tc>
        <w:tc>
          <w:tcPr>
            <w:tcW w:w="7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rPr>
                <w:rFonts w:eastAsia="Times New Roman"/>
                <w:sz w:val="20"/>
                <w:szCs w:val="20"/>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102FF3">
            <w:pPr>
              <w:jc w:val="center"/>
              <w:rPr>
                <w:rFonts w:ascii="Times" w:eastAsia="Times New Roman" w:hAnsi="Times"/>
                <w:sz w:val="24"/>
                <w:szCs w:val="24"/>
              </w:rPr>
            </w:pPr>
            <w:r>
              <w:rPr>
                <w:rFonts w:ascii="Times" w:eastAsia="Times New Roman" w:hAnsi="Times"/>
              </w:rPr>
              <w:t xml:space="preserve">11-07-2025 </w:t>
            </w:r>
            <w:r>
              <w:rPr>
                <w:rFonts w:ascii="Times" w:eastAsia="Times New Roman" w:hAnsi="Times"/>
              </w:rPr>
              <w:lastRenderedPageBreak/>
              <w:t>11:06:18</w:t>
            </w:r>
          </w:p>
        </w:tc>
      </w:tr>
    </w:tbl>
    <w:p w:rsidR="00102FF3" w:rsidRDefault="00102FF3">
      <w:pPr>
        <w:divId w:val="1502626438"/>
        <w:rPr>
          <w:rFonts w:eastAsia="Times New Roman"/>
        </w:rPr>
      </w:pPr>
      <w:bookmarkStart w:id="0" w:name="_GoBack"/>
      <w:bookmarkEnd w:id="0"/>
    </w:p>
    <w:sectPr w:rsidR="00102FF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206"/>
    <w:rsid w:val="00102FF3"/>
    <w:rsid w:val="00141EFE"/>
    <w:rsid w:val="009B1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CE8CA2-6D68-4A49-A19C-F334AC28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045733">
      <w:marLeft w:val="0"/>
      <w:marRight w:val="0"/>
      <w:marTop w:val="0"/>
      <w:marBottom w:val="0"/>
      <w:divBdr>
        <w:top w:val="none" w:sz="0" w:space="0" w:color="auto"/>
        <w:left w:val="none" w:sz="0" w:space="0" w:color="auto"/>
        <w:bottom w:val="none" w:sz="0" w:space="0" w:color="auto"/>
        <w:right w:val="none" w:sz="0" w:space="0" w:color="auto"/>
      </w:divBdr>
      <w:divsChild>
        <w:div w:id="257756652">
          <w:marLeft w:val="0"/>
          <w:marRight w:val="0"/>
          <w:marTop w:val="0"/>
          <w:marBottom w:val="0"/>
          <w:divBdr>
            <w:top w:val="none" w:sz="0" w:space="0" w:color="auto"/>
            <w:left w:val="none" w:sz="0" w:space="0" w:color="auto"/>
            <w:bottom w:val="none" w:sz="0" w:space="0" w:color="auto"/>
            <w:right w:val="none" w:sz="0" w:space="0" w:color="auto"/>
          </w:divBdr>
        </w:div>
      </w:divsChild>
    </w:div>
    <w:div w:id="1467308951">
      <w:marLeft w:val="0"/>
      <w:marRight w:val="0"/>
      <w:marTop w:val="0"/>
      <w:marBottom w:val="0"/>
      <w:divBdr>
        <w:top w:val="none" w:sz="0" w:space="0" w:color="auto"/>
        <w:left w:val="none" w:sz="0" w:space="0" w:color="auto"/>
        <w:bottom w:val="none" w:sz="0" w:space="0" w:color="auto"/>
        <w:right w:val="none" w:sz="0" w:space="0" w:color="auto"/>
      </w:divBdr>
      <w:divsChild>
        <w:div w:id="45833872">
          <w:marLeft w:val="0"/>
          <w:marRight w:val="0"/>
          <w:marTop w:val="0"/>
          <w:marBottom w:val="0"/>
          <w:divBdr>
            <w:top w:val="none" w:sz="0" w:space="0" w:color="auto"/>
            <w:left w:val="none" w:sz="0" w:space="0" w:color="auto"/>
            <w:bottom w:val="none" w:sz="0" w:space="0" w:color="auto"/>
            <w:right w:val="none" w:sz="0" w:space="0" w:color="auto"/>
          </w:divBdr>
          <w:divsChild>
            <w:div w:id="1743529480">
              <w:marLeft w:val="0"/>
              <w:marRight w:val="0"/>
              <w:marTop w:val="0"/>
              <w:marBottom w:val="0"/>
              <w:divBdr>
                <w:top w:val="none" w:sz="0" w:space="0" w:color="auto"/>
                <w:left w:val="none" w:sz="0" w:space="0" w:color="auto"/>
                <w:bottom w:val="none" w:sz="0" w:space="0" w:color="auto"/>
                <w:right w:val="none" w:sz="0" w:space="0" w:color="auto"/>
              </w:divBdr>
              <w:divsChild>
                <w:div w:id="1027176666">
                  <w:marLeft w:val="0"/>
                  <w:marRight w:val="0"/>
                  <w:marTop w:val="0"/>
                  <w:marBottom w:val="0"/>
                  <w:divBdr>
                    <w:top w:val="none" w:sz="0" w:space="0" w:color="auto"/>
                    <w:left w:val="none" w:sz="0" w:space="0" w:color="auto"/>
                    <w:bottom w:val="none" w:sz="0" w:space="0" w:color="auto"/>
                    <w:right w:val="none" w:sz="0" w:space="0" w:color="auto"/>
                  </w:divBdr>
                  <w:divsChild>
                    <w:div w:id="150262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58</Pages>
  <Words>7761</Words>
  <Characters>44244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2025-07-16T08:47:00Z</dcterms:created>
  <dcterms:modified xsi:type="dcterms:W3CDTF">2025-07-16T08:47:00Z</dcterms:modified>
</cp:coreProperties>
</file>